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E88B2">
      <w:pPr>
        <w:jc w:val="center"/>
        <w:rPr>
          <w:rFonts w:hint="eastAsia" w:ascii="宋体" w:hAnsi="宋体" w:eastAsia="宋体" w:cs="宋体"/>
          <w:b/>
          <w:bCs/>
          <w:color w:val="auto"/>
          <w:spacing w:val="100"/>
          <w:sz w:val="44"/>
          <w:szCs w:val="44"/>
          <w:highlight w:val="none"/>
          <w:lang w:eastAsia="zh-CN"/>
        </w:rPr>
      </w:pPr>
      <w:r>
        <w:rPr>
          <w:rFonts w:hint="eastAsia" w:ascii="宋体" w:hAnsi="宋体" w:eastAsia="宋体" w:cs="宋体"/>
          <w:b/>
          <w:bCs/>
          <w:color w:val="auto"/>
          <w:spacing w:val="100"/>
          <w:sz w:val="44"/>
          <w:szCs w:val="44"/>
          <w:highlight w:val="none"/>
          <w:lang w:eastAsia="zh-CN"/>
        </w:rPr>
        <w:drawing>
          <wp:inline distT="0" distB="0" distL="114300" distR="114300">
            <wp:extent cx="5400675" cy="7640955"/>
            <wp:effectExtent l="0" t="0" r="9525" b="17145"/>
            <wp:docPr id="1" name="图片 1" descr="招标文件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招标文件封面"/>
                    <pic:cNvPicPr>
                      <a:picLocks noChangeAspect="1"/>
                    </pic:cNvPicPr>
                  </pic:nvPicPr>
                  <pic:blipFill>
                    <a:blip r:embed="rId7"/>
                    <a:stretch>
                      <a:fillRect/>
                    </a:stretch>
                  </pic:blipFill>
                  <pic:spPr>
                    <a:xfrm>
                      <a:off x="0" y="0"/>
                      <a:ext cx="5400675" cy="7640955"/>
                    </a:xfrm>
                    <a:prstGeom prst="rect">
                      <a:avLst/>
                    </a:prstGeom>
                  </pic:spPr>
                </pic:pic>
              </a:graphicData>
            </a:graphic>
          </wp:inline>
        </w:drawing>
      </w:r>
    </w:p>
    <w:p w14:paraId="035B61CC">
      <w:pPr>
        <w:rPr>
          <w:rFonts w:hint="eastAsia" w:ascii="宋体" w:hAnsi="宋体" w:eastAsia="宋体" w:cs="宋体"/>
          <w:b/>
          <w:bCs/>
          <w:color w:val="auto"/>
          <w:spacing w:val="100"/>
          <w:sz w:val="44"/>
          <w:szCs w:val="44"/>
          <w:highlight w:val="none"/>
          <w:lang w:eastAsia="zh-CN"/>
        </w:rPr>
      </w:pPr>
      <w:r>
        <w:rPr>
          <w:rFonts w:hint="eastAsia" w:ascii="宋体" w:hAnsi="宋体" w:eastAsia="宋体" w:cs="宋体"/>
          <w:b/>
          <w:bCs/>
          <w:color w:val="auto"/>
          <w:spacing w:val="100"/>
          <w:sz w:val="44"/>
          <w:szCs w:val="44"/>
          <w:highlight w:val="none"/>
          <w:lang w:eastAsia="zh-CN"/>
        </w:rPr>
        <w:br w:type="page"/>
      </w:r>
    </w:p>
    <w:p w14:paraId="6337741A">
      <w:pPr>
        <w:jc w:val="center"/>
        <w:rPr>
          <w:rFonts w:hint="eastAsia" w:ascii="宋体" w:hAnsi="宋体" w:eastAsia="宋体" w:cs="宋体"/>
          <w:b/>
          <w:bCs/>
          <w:color w:val="auto"/>
          <w:spacing w:val="100"/>
          <w:sz w:val="44"/>
          <w:szCs w:val="44"/>
          <w:highlight w:val="none"/>
          <w:lang w:eastAsia="zh-CN"/>
        </w:rPr>
      </w:pPr>
      <w:r>
        <w:rPr>
          <w:rFonts w:hint="eastAsia" w:ascii="宋体" w:hAnsi="宋体" w:eastAsia="宋体" w:cs="宋体"/>
          <w:b/>
          <w:bCs/>
          <w:color w:val="auto"/>
          <w:spacing w:val="100"/>
          <w:sz w:val="44"/>
          <w:szCs w:val="44"/>
          <w:highlight w:val="none"/>
          <w:lang w:eastAsia="zh-CN"/>
        </w:rPr>
        <w:t>义马市交通运输局（原G310义渑东交界处）双向不停车智能检测项目</w:t>
      </w:r>
    </w:p>
    <w:p w14:paraId="4D638D99">
      <w:pPr>
        <w:rPr>
          <w:rFonts w:hint="eastAsia" w:ascii="宋体" w:hAnsi="宋体"/>
          <w:b/>
          <w:bCs/>
          <w:color w:val="auto"/>
          <w:spacing w:val="100"/>
          <w:sz w:val="56"/>
          <w:szCs w:val="56"/>
          <w:highlight w:val="none"/>
        </w:rPr>
      </w:pPr>
    </w:p>
    <w:p w14:paraId="6122438B">
      <w:pPr>
        <w:jc w:val="center"/>
        <w:rPr>
          <w:rFonts w:ascii="宋体" w:hAnsi="宋体"/>
          <w:b/>
          <w:bCs/>
          <w:color w:val="auto"/>
          <w:spacing w:val="100"/>
          <w:sz w:val="60"/>
          <w:szCs w:val="60"/>
          <w:highlight w:val="none"/>
        </w:rPr>
      </w:pPr>
      <w:r>
        <w:rPr>
          <w:rFonts w:hint="eastAsia" w:ascii="宋体" w:hAnsi="宋体"/>
          <w:b/>
          <w:bCs/>
          <w:color w:val="auto"/>
          <w:spacing w:val="100"/>
          <w:sz w:val="72"/>
          <w:szCs w:val="72"/>
          <w:highlight w:val="none"/>
        </w:rPr>
        <w:t>招标文</w:t>
      </w:r>
      <w:bookmarkStart w:id="182" w:name="_GoBack"/>
      <w:bookmarkEnd w:id="182"/>
      <w:r>
        <w:rPr>
          <w:rFonts w:hint="eastAsia" w:ascii="宋体" w:hAnsi="宋体"/>
          <w:b/>
          <w:bCs/>
          <w:color w:val="auto"/>
          <w:spacing w:val="100"/>
          <w:sz w:val="72"/>
          <w:szCs w:val="72"/>
          <w:highlight w:val="none"/>
        </w:rPr>
        <w:t>件</w:t>
      </w:r>
    </w:p>
    <w:p w14:paraId="667106AC">
      <w:pPr>
        <w:pStyle w:val="6"/>
        <w:rPr>
          <w:color w:val="auto"/>
          <w:highlight w:val="none"/>
          <w:lang w:val="en-GB"/>
        </w:rPr>
      </w:pPr>
    </w:p>
    <w:p w14:paraId="1E205076">
      <w:pPr>
        <w:spacing w:line="360" w:lineRule="auto"/>
        <w:jc w:val="center"/>
        <w:rPr>
          <w:rFonts w:ascii="宋体" w:hAnsi="宋体"/>
          <w:b/>
          <w:bCs/>
          <w:color w:val="auto"/>
          <w:sz w:val="32"/>
          <w:szCs w:val="32"/>
          <w:highlight w:val="none"/>
        </w:rPr>
      </w:pPr>
    </w:p>
    <w:p w14:paraId="57E10692">
      <w:pPr>
        <w:ind w:firstLine="678" w:firstLineChars="323"/>
        <w:jc w:val="center"/>
        <w:rPr>
          <w:rFonts w:hint="eastAsia"/>
          <w:b/>
          <w:color w:val="auto"/>
          <w:sz w:val="32"/>
          <w:szCs w:val="32"/>
          <w:highlight w:val="none"/>
          <w:lang w:val="en-US" w:eastAsia="zh-CN"/>
        </w:rPr>
      </w:pPr>
      <w:r>
        <w:rPr>
          <w:color w:val="auto"/>
          <w:highlight w:val="none"/>
        </w:rPr>
        <w:drawing>
          <wp:inline distT="0" distB="0" distL="114300" distR="114300">
            <wp:extent cx="2482850" cy="2453005"/>
            <wp:effectExtent l="0" t="0" r="0" b="0"/>
            <wp:docPr id="7" name="图片 1" descr="崇璟工程管理咨询有限公司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崇璟工程管理咨询有限公司_1"/>
                    <pic:cNvPicPr>
                      <a:picLocks noChangeAspect="1"/>
                    </pic:cNvPicPr>
                  </pic:nvPicPr>
                  <pic:blipFill>
                    <a:blip r:embed="rId8"/>
                    <a:srcRect l="24594" t="24054" r="23897" b="25027"/>
                    <a:stretch>
                      <a:fillRect/>
                    </a:stretch>
                  </pic:blipFill>
                  <pic:spPr>
                    <a:xfrm>
                      <a:off x="0" y="0"/>
                      <a:ext cx="2482850" cy="2453005"/>
                    </a:xfrm>
                    <a:prstGeom prst="rect">
                      <a:avLst/>
                    </a:prstGeom>
                    <a:noFill/>
                    <a:ln>
                      <a:noFill/>
                    </a:ln>
                  </pic:spPr>
                </pic:pic>
              </a:graphicData>
            </a:graphic>
          </wp:inline>
        </w:drawing>
      </w:r>
    </w:p>
    <w:p w14:paraId="17A88F6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color w:val="auto"/>
          <w:sz w:val="32"/>
          <w:szCs w:val="32"/>
          <w:highlight w:val="none"/>
          <w:lang w:val="en-US" w:eastAsia="zh-CN"/>
        </w:rPr>
      </w:pPr>
    </w:p>
    <w:p w14:paraId="7805BC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color w:val="auto"/>
          <w:sz w:val="32"/>
          <w:szCs w:val="32"/>
          <w:highlight w:val="none"/>
          <w:lang w:val="en-US" w:eastAsia="zh-CN"/>
        </w:rPr>
      </w:pPr>
    </w:p>
    <w:p w14:paraId="61D1A5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color w:val="auto"/>
          <w:sz w:val="32"/>
          <w:szCs w:val="32"/>
          <w:highlight w:val="none"/>
          <w:lang w:val="en-US" w:eastAsia="zh-CN"/>
        </w:rPr>
      </w:pPr>
    </w:p>
    <w:p w14:paraId="499D16C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color w:val="auto"/>
          <w:sz w:val="32"/>
          <w:szCs w:val="32"/>
          <w:highlight w:val="none"/>
          <w:lang w:val="en-US" w:eastAsia="zh-CN"/>
        </w:rPr>
      </w:pPr>
      <w:r>
        <w:rPr>
          <w:rFonts w:hint="eastAsia"/>
          <w:b/>
          <w:color w:val="auto"/>
          <w:sz w:val="32"/>
          <w:szCs w:val="32"/>
          <w:highlight w:val="none"/>
          <w:lang w:val="en-US" w:eastAsia="zh-CN"/>
        </w:rPr>
        <w:t>招 标</w:t>
      </w:r>
      <w:r>
        <w:rPr>
          <w:rFonts w:hint="eastAsia"/>
          <w:b/>
          <w:color w:val="auto"/>
          <w:sz w:val="32"/>
          <w:szCs w:val="32"/>
          <w:highlight w:val="none"/>
        </w:rPr>
        <w:t xml:space="preserve"> 人：</w:t>
      </w:r>
      <w:r>
        <w:rPr>
          <w:rFonts w:hint="eastAsia"/>
          <w:b/>
          <w:color w:val="auto"/>
          <w:sz w:val="32"/>
          <w:szCs w:val="32"/>
          <w:highlight w:val="none"/>
          <w:lang w:eastAsia="zh-CN"/>
        </w:rPr>
        <w:t>义马市交通运输局</w:t>
      </w:r>
      <w:r>
        <w:rPr>
          <w:rFonts w:hint="eastAsia"/>
          <w:b/>
          <w:color w:val="auto"/>
          <w:sz w:val="32"/>
          <w:szCs w:val="32"/>
          <w:highlight w:val="none"/>
          <w:lang w:val="en-US" w:eastAsia="zh-CN"/>
        </w:rPr>
        <w:t xml:space="preserve">     </w:t>
      </w:r>
    </w:p>
    <w:p w14:paraId="70DC56C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b/>
          <w:color w:val="auto"/>
          <w:sz w:val="32"/>
          <w:szCs w:val="32"/>
          <w:highlight w:val="none"/>
          <w:lang w:eastAsia="zh-CN"/>
        </w:rPr>
      </w:pPr>
      <w:r>
        <w:rPr>
          <w:rFonts w:hint="eastAsia"/>
          <w:b/>
          <w:color w:val="auto"/>
          <w:sz w:val="32"/>
          <w:szCs w:val="32"/>
          <w:highlight w:val="none"/>
          <w:lang w:val="en-US" w:eastAsia="zh-CN"/>
        </w:rPr>
        <w:t xml:space="preserve">       </w:t>
      </w:r>
      <w:r>
        <w:rPr>
          <w:rFonts w:hint="eastAsia"/>
          <w:b/>
          <w:color w:val="auto"/>
          <w:sz w:val="32"/>
          <w:szCs w:val="32"/>
          <w:highlight w:val="none"/>
        </w:rPr>
        <w:t>代理机构：</w:t>
      </w:r>
      <w:r>
        <w:rPr>
          <w:rFonts w:hint="eastAsia"/>
          <w:b/>
          <w:color w:val="auto"/>
          <w:sz w:val="32"/>
          <w:szCs w:val="32"/>
          <w:highlight w:val="none"/>
          <w:lang w:eastAsia="zh-CN"/>
        </w:rPr>
        <w:t>崇璟工程管理咨询有限公司</w:t>
      </w:r>
    </w:p>
    <w:p w14:paraId="64795DB7">
      <w:pPr>
        <w:keepNext w:val="0"/>
        <w:keepLines w:val="0"/>
        <w:pageBreakBefore w:val="0"/>
        <w:widowControl w:val="0"/>
        <w:kinsoku/>
        <w:wordWrap/>
        <w:overflowPunct/>
        <w:topLinePunct w:val="0"/>
        <w:autoSpaceDE/>
        <w:autoSpaceDN/>
        <w:bidi w:val="0"/>
        <w:adjustRightInd/>
        <w:snapToGrid/>
        <w:spacing w:line="360" w:lineRule="auto"/>
        <w:ind w:firstLine="1928" w:firstLineChars="600"/>
        <w:jc w:val="both"/>
        <w:textAlignment w:val="auto"/>
        <w:rPr>
          <w:color w:val="auto"/>
          <w:sz w:val="32"/>
          <w:szCs w:val="32"/>
          <w:highlight w:val="none"/>
        </w:rPr>
      </w:pPr>
      <w:r>
        <w:rPr>
          <w:rFonts w:hint="eastAsia"/>
          <w:b/>
          <w:color w:val="auto"/>
          <w:sz w:val="32"/>
          <w:szCs w:val="32"/>
          <w:highlight w:val="none"/>
        </w:rPr>
        <w:t>日    期：二零二</w:t>
      </w:r>
      <w:r>
        <w:rPr>
          <w:rFonts w:hint="eastAsia"/>
          <w:b/>
          <w:color w:val="auto"/>
          <w:sz w:val="32"/>
          <w:szCs w:val="32"/>
          <w:highlight w:val="none"/>
          <w:lang w:val="en-US" w:eastAsia="zh-CN"/>
        </w:rPr>
        <w:t>五</w:t>
      </w:r>
      <w:r>
        <w:rPr>
          <w:rFonts w:hint="eastAsia"/>
          <w:b/>
          <w:color w:val="auto"/>
          <w:sz w:val="32"/>
          <w:szCs w:val="32"/>
          <w:highlight w:val="none"/>
        </w:rPr>
        <w:t>年</w:t>
      </w:r>
      <w:r>
        <w:rPr>
          <w:rFonts w:hint="eastAsia"/>
          <w:b/>
          <w:color w:val="auto"/>
          <w:sz w:val="32"/>
          <w:szCs w:val="32"/>
          <w:highlight w:val="none"/>
          <w:lang w:val="en-US" w:eastAsia="zh-CN"/>
        </w:rPr>
        <w:t>五</w:t>
      </w:r>
      <w:r>
        <w:rPr>
          <w:rFonts w:hint="eastAsia"/>
          <w:b/>
          <w:color w:val="auto"/>
          <w:sz w:val="32"/>
          <w:szCs w:val="32"/>
          <w:highlight w:val="none"/>
        </w:rPr>
        <w:t>月</w:t>
      </w:r>
    </w:p>
    <w:p w14:paraId="43508173">
      <w:pPr>
        <w:pStyle w:val="6"/>
        <w:rPr>
          <w:rFonts w:hint="eastAsia"/>
          <w:color w:val="auto"/>
          <w:highlight w:val="none"/>
        </w:rPr>
      </w:pPr>
    </w:p>
    <w:p w14:paraId="07A83F0D">
      <w:pPr>
        <w:rPr>
          <w:color w:val="auto"/>
          <w:highlight w:val="none"/>
        </w:rPr>
      </w:pPr>
    </w:p>
    <w:sdt>
      <w:sdtPr>
        <w:rPr>
          <w:rFonts w:ascii="宋体" w:hAnsi="宋体" w:eastAsia="宋体" w:cs="Times New Roman"/>
          <w:color w:val="auto"/>
          <w:kern w:val="2"/>
          <w:sz w:val="21"/>
          <w:szCs w:val="22"/>
          <w:highlight w:val="none"/>
          <w:lang w:val="en-US" w:eastAsia="zh-CN" w:bidi="ar-SA"/>
        </w:rPr>
        <w:id w:val="147455250"/>
        <w15:color w:val="DBDBDB"/>
        <w:docPartObj>
          <w:docPartGallery w:val="Table of Contents"/>
          <w:docPartUnique/>
        </w:docPartObj>
      </w:sdtPr>
      <w:sdtEndPr>
        <w:rPr>
          <w:rFonts w:hint="eastAsia" w:ascii="Times New Roman" w:hAnsi="Times New Roman" w:eastAsia="宋体" w:cs="Times New Roman"/>
          <w:color w:val="auto"/>
          <w:kern w:val="2"/>
          <w:sz w:val="21"/>
          <w:szCs w:val="22"/>
          <w:highlight w:val="none"/>
          <w:lang w:val="en-US" w:eastAsia="zh-CN" w:bidi="ar-SA"/>
        </w:rPr>
      </w:sdtEndPr>
      <w:sdtContent>
        <w:p w14:paraId="56DBC431">
          <w:pPr>
            <w:spacing w:before="0" w:beforeLines="0" w:after="0" w:afterLines="0" w:line="240" w:lineRule="auto"/>
            <w:ind w:left="0" w:leftChars="0" w:right="0" w:rightChars="0" w:firstLine="0" w:firstLineChars="0"/>
            <w:jc w:val="center"/>
            <w:rPr>
              <w:rFonts w:ascii="宋体" w:hAnsi="宋体" w:eastAsia="宋体" w:cs="Times New Roman"/>
              <w:color w:val="auto"/>
              <w:kern w:val="2"/>
              <w:sz w:val="21"/>
              <w:szCs w:val="22"/>
              <w:highlight w:val="none"/>
              <w:lang w:val="en-US" w:eastAsia="zh-CN" w:bidi="ar-SA"/>
            </w:rPr>
          </w:pPr>
        </w:p>
        <w:p w14:paraId="630224C1">
          <w:pPr>
            <w:rPr>
              <w:rFonts w:ascii="宋体" w:hAnsi="宋体"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2"/>
              <w:highlight w:val="none"/>
              <w:lang w:val="en-US" w:eastAsia="zh-CN" w:bidi="ar-SA"/>
            </w:rPr>
            <w:br w:type="page"/>
          </w:r>
        </w:p>
        <w:p w14:paraId="6008B8BF">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目</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rPr>
            <w:t>录</w:t>
          </w:r>
        </w:p>
        <w:p w14:paraId="7823CB79">
          <w:pPr>
            <w:pStyle w:val="11"/>
            <w:tabs>
              <w:tab w:val="right" w:leader="dot" w:pos="8306"/>
            </w:tabs>
            <w:ind w:left="0" w:leftChars="0" w:firstLine="0" w:firstLineChars="0"/>
            <w:rPr>
              <w:rFonts w:hint="eastAsia" w:ascii="宋体" w:hAnsi="宋体" w:eastAsia="宋体" w:cs="宋体"/>
              <w:color w:val="auto"/>
              <w:sz w:val="28"/>
              <w:szCs w:val="32"/>
              <w:highlight w:val="none"/>
            </w:rPr>
          </w:pPr>
          <w:r>
            <w:rPr>
              <w:rFonts w:hint="eastAsia" w:ascii="宋体" w:hAnsi="宋体" w:eastAsia="宋体" w:cs="宋体"/>
              <w:color w:val="auto"/>
              <w:sz w:val="28"/>
              <w:szCs w:val="32"/>
              <w:highlight w:val="none"/>
              <w:lang w:val="en-US" w:eastAsia="zh-CN"/>
            </w:rPr>
            <w:fldChar w:fldCharType="begin"/>
          </w:r>
          <w:r>
            <w:rPr>
              <w:rFonts w:hint="eastAsia" w:ascii="宋体" w:hAnsi="宋体" w:eastAsia="宋体" w:cs="宋体"/>
              <w:color w:val="auto"/>
              <w:sz w:val="28"/>
              <w:szCs w:val="32"/>
              <w:highlight w:val="none"/>
              <w:lang w:val="en-US" w:eastAsia="zh-CN"/>
            </w:rPr>
            <w:instrText xml:space="preserve">TOC \o "1-3" \h \u </w:instrText>
          </w:r>
          <w:r>
            <w:rPr>
              <w:rFonts w:hint="eastAsia" w:ascii="宋体" w:hAnsi="宋体" w:eastAsia="宋体" w:cs="宋体"/>
              <w:color w:val="auto"/>
              <w:sz w:val="28"/>
              <w:szCs w:val="32"/>
              <w:highlight w:val="none"/>
              <w:lang w:val="en-US" w:eastAsia="zh-CN"/>
            </w:rPr>
            <w:fldChar w:fldCharType="separate"/>
          </w:r>
          <w:r>
            <w:rPr>
              <w:rFonts w:hint="eastAsia" w:ascii="宋体" w:hAnsi="宋体" w:eastAsia="宋体" w:cs="宋体"/>
              <w:color w:val="auto"/>
              <w:sz w:val="28"/>
              <w:szCs w:val="32"/>
              <w:highlight w:val="none"/>
              <w:lang w:val="en-US" w:eastAsia="zh-CN"/>
            </w:rPr>
            <w:fldChar w:fldCharType="begin"/>
          </w:r>
          <w:r>
            <w:rPr>
              <w:rFonts w:hint="eastAsia" w:ascii="宋体" w:hAnsi="宋体" w:eastAsia="宋体" w:cs="宋体"/>
              <w:color w:val="auto"/>
              <w:sz w:val="28"/>
              <w:szCs w:val="32"/>
              <w:highlight w:val="none"/>
              <w:lang w:val="en-US" w:eastAsia="zh-CN"/>
            </w:rPr>
            <w:instrText xml:space="preserve"> HYPERLINK \l _Toc821 </w:instrText>
          </w:r>
          <w:r>
            <w:rPr>
              <w:rFonts w:hint="eastAsia" w:ascii="宋体" w:hAnsi="宋体" w:eastAsia="宋体" w:cs="宋体"/>
              <w:color w:val="auto"/>
              <w:sz w:val="28"/>
              <w:szCs w:val="32"/>
              <w:highlight w:val="none"/>
              <w:lang w:val="en-US" w:eastAsia="zh-CN"/>
            </w:rPr>
            <w:fldChar w:fldCharType="separate"/>
          </w:r>
          <w:r>
            <w:rPr>
              <w:rFonts w:hint="eastAsia" w:ascii="宋体" w:hAnsi="宋体" w:eastAsia="宋体" w:cs="宋体"/>
              <w:bCs/>
              <w:color w:val="auto"/>
              <w:sz w:val="28"/>
              <w:szCs w:val="48"/>
              <w:highlight w:val="none"/>
            </w:rPr>
            <w:t xml:space="preserve">第一章 </w:t>
          </w:r>
          <w:r>
            <w:rPr>
              <w:rFonts w:hint="eastAsia" w:ascii="宋体" w:hAnsi="宋体" w:eastAsia="宋体" w:cs="宋体"/>
              <w:bCs/>
              <w:color w:val="auto"/>
              <w:sz w:val="28"/>
              <w:szCs w:val="48"/>
              <w:highlight w:val="none"/>
              <w:lang w:val="en-US" w:eastAsia="zh-CN"/>
            </w:rPr>
            <w:t xml:space="preserve"> </w:t>
          </w:r>
          <w:r>
            <w:rPr>
              <w:rFonts w:hint="eastAsia" w:ascii="宋体" w:hAnsi="宋体" w:eastAsia="宋体" w:cs="宋体"/>
              <w:bCs/>
              <w:color w:val="auto"/>
              <w:sz w:val="28"/>
              <w:szCs w:val="48"/>
              <w:highlight w:val="none"/>
            </w:rPr>
            <w:t>招标公告</w:t>
          </w:r>
          <w:r>
            <w:rPr>
              <w:rFonts w:hint="eastAsia" w:ascii="宋体" w:hAnsi="宋体" w:eastAsia="宋体" w:cs="宋体"/>
              <w:color w:val="auto"/>
              <w:sz w:val="28"/>
              <w:szCs w:val="32"/>
              <w:highlight w:val="none"/>
            </w:rPr>
            <w:tab/>
          </w:r>
          <w:r>
            <w:rPr>
              <w:rFonts w:hint="eastAsia" w:ascii="宋体" w:hAnsi="宋体" w:eastAsia="宋体" w:cs="宋体"/>
              <w:color w:val="auto"/>
              <w:sz w:val="28"/>
              <w:szCs w:val="32"/>
              <w:highlight w:val="none"/>
            </w:rPr>
            <w:fldChar w:fldCharType="begin"/>
          </w:r>
          <w:r>
            <w:rPr>
              <w:rFonts w:hint="eastAsia" w:ascii="宋体" w:hAnsi="宋体" w:eastAsia="宋体" w:cs="宋体"/>
              <w:color w:val="auto"/>
              <w:sz w:val="28"/>
              <w:szCs w:val="32"/>
              <w:highlight w:val="none"/>
            </w:rPr>
            <w:instrText xml:space="preserve"> PAGEREF _Toc821 \h </w:instrText>
          </w:r>
          <w:r>
            <w:rPr>
              <w:rFonts w:hint="eastAsia" w:ascii="宋体" w:hAnsi="宋体" w:eastAsia="宋体" w:cs="宋体"/>
              <w:color w:val="auto"/>
              <w:sz w:val="28"/>
              <w:szCs w:val="32"/>
              <w:highlight w:val="none"/>
            </w:rPr>
            <w:fldChar w:fldCharType="separate"/>
          </w:r>
          <w:r>
            <w:rPr>
              <w:rFonts w:hint="eastAsia" w:ascii="宋体" w:hAnsi="宋体" w:eastAsia="宋体" w:cs="宋体"/>
              <w:color w:val="auto"/>
              <w:sz w:val="28"/>
              <w:szCs w:val="32"/>
              <w:highlight w:val="none"/>
            </w:rPr>
            <w:t>1</w:t>
          </w:r>
          <w:r>
            <w:rPr>
              <w:rFonts w:hint="eastAsia" w:ascii="宋体" w:hAnsi="宋体" w:eastAsia="宋体" w:cs="宋体"/>
              <w:color w:val="auto"/>
              <w:sz w:val="28"/>
              <w:szCs w:val="32"/>
              <w:highlight w:val="none"/>
            </w:rPr>
            <w:fldChar w:fldCharType="end"/>
          </w:r>
          <w:r>
            <w:rPr>
              <w:rFonts w:hint="eastAsia" w:ascii="宋体" w:hAnsi="宋体" w:eastAsia="宋体" w:cs="宋体"/>
              <w:color w:val="auto"/>
              <w:sz w:val="28"/>
              <w:szCs w:val="32"/>
              <w:highlight w:val="none"/>
              <w:lang w:val="en-US" w:eastAsia="zh-CN"/>
            </w:rPr>
            <w:fldChar w:fldCharType="end"/>
          </w:r>
        </w:p>
        <w:p w14:paraId="77998711">
          <w:pPr>
            <w:pStyle w:val="15"/>
            <w:tabs>
              <w:tab w:val="right" w:leader="dot" w:pos="8306"/>
            </w:tabs>
            <w:rPr>
              <w:rFonts w:hint="eastAsia" w:ascii="宋体" w:hAnsi="宋体" w:eastAsia="宋体" w:cs="宋体"/>
              <w:color w:val="auto"/>
              <w:sz w:val="28"/>
              <w:szCs w:val="32"/>
              <w:highlight w:val="none"/>
            </w:rPr>
          </w:pPr>
          <w:r>
            <w:rPr>
              <w:rFonts w:hint="eastAsia" w:ascii="宋体" w:hAnsi="宋体" w:eastAsia="宋体" w:cs="宋体"/>
              <w:color w:val="auto"/>
              <w:sz w:val="28"/>
              <w:szCs w:val="32"/>
              <w:highlight w:val="none"/>
              <w:lang w:val="en-US" w:eastAsia="zh-CN"/>
            </w:rPr>
            <w:fldChar w:fldCharType="begin"/>
          </w:r>
          <w:r>
            <w:rPr>
              <w:rFonts w:hint="eastAsia" w:ascii="宋体" w:hAnsi="宋体" w:eastAsia="宋体" w:cs="宋体"/>
              <w:color w:val="auto"/>
              <w:sz w:val="28"/>
              <w:szCs w:val="32"/>
              <w:highlight w:val="none"/>
              <w:lang w:val="en-US" w:eastAsia="zh-CN"/>
            </w:rPr>
            <w:instrText xml:space="preserve"> HYPERLINK \l _Toc28856 </w:instrText>
          </w:r>
          <w:r>
            <w:rPr>
              <w:rFonts w:hint="eastAsia" w:ascii="宋体" w:hAnsi="宋体" w:eastAsia="宋体" w:cs="宋体"/>
              <w:color w:val="auto"/>
              <w:sz w:val="28"/>
              <w:szCs w:val="32"/>
              <w:highlight w:val="none"/>
              <w:lang w:val="en-US" w:eastAsia="zh-CN"/>
            </w:rPr>
            <w:fldChar w:fldCharType="separate"/>
          </w:r>
          <w:r>
            <w:rPr>
              <w:rFonts w:hint="eastAsia" w:ascii="宋体" w:hAnsi="宋体" w:eastAsia="宋体" w:cs="宋体"/>
              <w:bCs/>
              <w:color w:val="auto"/>
              <w:sz w:val="28"/>
              <w:szCs w:val="48"/>
              <w:highlight w:val="none"/>
            </w:rPr>
            <w:t xml:space="preserve">第二章 </w:t>
          </w:r>
          <w:r>
            <w:rPr>
              <w:rFonts w:hint="eastAsia" w:ascii="宋体" w:hAnsi="宋体" w:eastAsia="宋体" w:cs="宋体"/>
              <w:bCs/>
              <w:color w:val="auto"/>
              <w:sz w:val="28"/>
              <w:szCs w:val="48"/>
              <w:highlight w:val="none"/>
              <w:lang w:val="en-US" w:eastAsia="zh-CN"/>
            </w:rPr>
            <w:t xml:space="preserve"> </w:t>
          </w:r>
          <w:r>
            <w:rPr>
              <w:rFonts w:hint="eastAsia" w:ascii="宋体" w:hAnsi="宋体" w:eastAsia="宋体" w:cs="宋体"/>
              <w:bCs/>
              <w:color w:val="auto"/>
              <w:sz w:val="28"/>
              <w:szCs w:val="48"/>
              <w:highlight w:val="none"/>
            </w:rPr>
            <w:t>供应商须知</w:t>
          </w:r>
          <w:r>
            <w:rPr>
              <w:rFonts w:hint="eastAsia" w:ascii="宋体" w:hAnsi="宋体" w:eastAsia="宋体" w:cs="宋体"/>
              <w:color w:val="auto"/>
              <w:sz w:val="28"/>
              <w:szCs w:val="32"/>
              <w:highlight w:val="none"/>
            </w:rPr>
            <w:tab/>
          </w:r>
          <w:r>
            <w:rPr>
              <w:rFonts w:hint="eastAsia" w:ascii="宋体" w:hAnsi="宋体" w:eastAsia="宋体" w:cs="宋体"/>
              <w:color w:val="auto"/>
              <w:sz w:val="28"/>
              <w:szCs w:val="32"/>
              <w:highlight w:val="none"/>
            </w:rPr>
            <w:fldChar w:fldCharType="begin"/>
          </w:r>
          <w:r>
            <w:rPr>
              <w:rFonts w:hint="eastAsia" w:ascii="宋体" w:hAnsi="宋体" w:eastAsia="宋体" w:cs="宋体"/>
              <w:color w:val="auto"/>
              <w:sz w:val="28"/>
              <w:szCs w:val="32"/>
              <w:highlight w:val="none"/>
            </w:rPr>
            <w:instrText xml:space="preserve"> PAGEREF _Toc28856 \h </w:instrText>
          </w:r>
          <w:r>
            <w:rPr>
              <w:rFonts w:hint="eastAsia" w:ascii="宋体" w:hAnsi="宋体" w:eastAsia="宋体" w:cs="宋体"/>
              <w:color w:val="auto"/>
              <w:sz w:val="28"/>
              <w:szCs w:val="32"/>
              <w:highlight w:val="none"/>
            </w:rPr>
            <w:fldChar w:fldCharType="separate"/>
          </w:r>
          <w:r>
            <w:rPr>
              <w:rFonts w:hint="eastAsia" w:ascii="宋体" w:hAnsi="宋体" w:eastAsia="宋体" w:cs="宋体"/>
              <w:color w:val="auto"/>
              <w:sz w:val="28"/>
              <w:szCs w:val="32"/>
              <w:highlight w:val="none"/>
            </w:rPr>
            <w:t>5</w:t>
          </w:r>
          <w:r>
            <w:rPr>
              <w:rFonts w:hint="eastAsia" w:ascii="宋体" w:hAnsi="宋体" w:eastAsia="宋体" w:cs="宋体"/>
              <w:color w:val="auto"/>
              <w:sz w:val="28"/>
              <w:szCs w:val="32"/>
              <w:highlight w:val="none"/>
            </w:rPr>
            <w:fldChar w:fldCharType="end"/>
          </w:r>
          <w:r>
            <w:rPr>
              <w:rFonts w:hint="eastAsia" w:ascii="宋体" w:hAnsi="宋体" w:eastAsia="宋体" w:cs="宋体"/>
              <w:color w:val="auto"/>
              <w:sz w:val="28"/>
              <w:szCs w:val="32"/>
              <w:highlight w:val="none"/>
              <w:lang w:val="en-US" w:eastAsia="zh-CN"/>
            </w:rPr>
            <w:fldChar w:fldCharType="end"/>
          </w:r>
        </w:p>
        <w:p w14:paraId="4B553CD1">
          <w:pPr>
            <w:pStyle w:val="15"/>
            <w:tabs>
              <w:tab w:val="right" w:leader="dot" w:pos="8306"/>
            </w:tabs>
            <w:rPr>
              <w:rFonts w:hint="eastAsia" w:ascii="宋体" w:hAnsi="宋体" w:eastAsia="宋体" w:cs="宋体"/>
              <w:color w:val="auto"/>
              <w:sz w:val="28"/>
              <w:szCs w:val="32"/>
              <w:highlight w:val="none"/>
            </w:rPr>
          </w:pPr>
          <w:r>
            <w:rPr>
              <w:rFonts w:hint="eastAsia" w:ascii="宋体" w:hAnsi="宋体" w:eastAsia="宋体" w:cs="宋体"/>
              <w:color w:val="auto"/>
              <w:sz w:val="28"/>
              <w:szCs w:val="32"/>
              <w:highlight w:val="none"/>
              <w:lang w:val="en-US" w:eastAsia="zh-CN"/>
            </w:rPr>
            <w:fldChar w:fldCharType="begin"/>
          </w:r>
          <w:r>
            <w:rPr>
              <w:rFonts w:hint="eastAsia" w:ascii="宋体" w:hAnsi="宋体" w:eastAsia="宋体" w:cs="宋体"/>
              <w:color w:val="auto"/>
              <w:sz w:val="28"/>
              <w:szCs w:val="32"/>
              <w:highlight w:val="none"/>
              <w:lang w:val="en-US" w:eastAsia="zh-CN"/>
            </w:rPr>
            <w:instrText xml:space="preserve"> HYPERLINK \l _Toc22923 </w:instrText>
          </w:r>
          <w:r>
            <w:rPr>
              <w:rFonts w:hint="eastAsia" w:ascii="宋体" w:hAnsi="宋体" w:eastAsia="宋体" w:cs="宋体"/>
              <w:color w:val="auto"/>
              <w:sz w:val="28"/>
              <w:szCs w:val="32"/>
              <w:highlight w:val="none"/>
              <w:lang w:val="en-US" w:eastAsia="zh-CN"/>
            </w:rPr>
            <w:fldChar w:fldCharType="separate"/>
          </w:r>
          <w:r>
            <w:rPr>
              <w:rFonts w:hint="eastAsia" w:ascii="宋体" w:hAnsi="宋体" w:eastAsia="宋体" w:cs="宋体"/>
              <w:bCs/>
              <w:color w:val="auto"/>
              <w:sz w:val="28"/>
              <w:szCs w:val="48"/>
              <w:highlight w:val="none"/>
            </w:rPr>
            <w:t xml:space="preserve">第三章  </w:t>
          </w:r>
          <w:r>
            <w:rPr>
              <w:rFonts w:hint="eastAsia" w:ascii="宋体" w:hAnsi="宋体" w:eastAsia="宋体" w:cs="宋体"/>
              <w:bCs/>
              <w:color w:val="auto"/>
              <w:sz w:val="28"/>
              <w:szCs w:val="48"/>
              <w:highlight w:val="none"/>
              <w:lang w:val="en-US" w:eastAsia="zh-CN"/>
            </w:rPr>
            <w:t>技术参数</w:t>
          </w:r>
          <w:r>
            <w:rPr>
              <w:rFonts w:hint="eastAsia" w:ascii="宋体" w:hAnsi="宋体" w:eastAsia="宋体" w:cs="宋体"/>
              <w:color w:val="auto"/>
              <w:sz w:val="28"/>
              <w:szCs w:val="32"/>
              <w:highlight w:val="none"/>
            </w:rPr>
            <w:tab/>
          </w:r>
          <w:r>
            <w:rPr>
              <w:rFonts w:hint="eastAsia" w:ascii="宋体" w:hAnsi="宋体" w:eastAsia="宋体" w:cs="宋体"/>
              <w:color w:val="auto"/>
              <w:sz w:val="28"/>
              <w:szCs w:val="32"/>
              <w:highlight w:val="none"/>
            </w:rPr>
            <w:fldChar w:fldCharType="begin"/>
          </w:r>
          <w:r>
            <w:rPr>
              <w:rFonts w:hint="eastAsia" w:ascii="宋体" w:hAnsi="宋体" w:eastAsia="宋体" w:cs="宋体"/>
              <w:color w:val="auto"/>
              <w:sz w:val="28"/>
              <w:szCs w:val="32"/>
              <w:highlight w:val="none"/>
            </w:rPr>
            <w:instrText xml:space="preserve"> PAGEREF _Toc22923 \h </w:instrText>
          </w:r>
          <w:r>
            <w:rPr>
              <w:rFonts w:hint="eastAsia" w:ascii="宋体" w:hAnsi="宋体" w:eastAsia="宋体" w:cs="宋体"/>
              <w:color w:val="auto"/>
              <w:sz w:val="28"/>
              <w:szCs w:val="32"/>
              <w:highlight w:val="none"/>
            </w:rPr>
            <w:fldChar w:fldCharType="separate"/>
          </w:r>
          <w:r>
            <w:rPr>
              <w:rFonts w:hint="eastAsia" w:ascii="宋体" w:hAnsi="宋体" w:eastAsia="宋体" w:cs="宋体"/>
              <w:color w:val="auto"/>
              <w:sz w:val="28"/>
              <w:szCs w:val="32"/>
              <w:highlight w:val="none"/>
            </w:rPr>
            <w:t>21</w:t>
          </w:r>
          <w:r>
            <w:rPr>
              <w:rFonts w:hint="eastAsia" w:ascii="宋体" w:hAnsi="宋体" w:eastAsia="宋体" w:cs="宋体"/>
              <w:color w:val="auto"/>
              <w:sz w:val="28"/>
              <w:szCs w:val="32"/>
              <w:highlight w:val="none"/>
            </w:rPr>
            <w:fldChar w:fldCharType="end"/>
          </w:r>
          <w:r>
            <w:rPr>
              <w:rFonts w:hint="eastAsia" w:ascii="宋体" w:hAnsi="宋体" w:eastAsia="宋体" w:cs="宋体"/>
              <w:color w:val="auto"/>
              <w:sz w:val="28"/>
              <w:szCs w:val="32"/>
              <w:highlight w:val="none"/>
              <w:lang w:val="en-US" w:eastAsia="zh-CN"/>
            </w:rPr>
            <w:fldChar w:fldCharType="end"/>
          </w:r>
        </w:p>
        <w:p w14:paraId="4F720FF5">
          <w:pPr>
            <w:pStyle w:val="15"/>
            <w:tabs>
              <w:tab w:val="right" w:leader="dot" w:pos="8306"/>
            </w:tabs>
            <w:rPr>
              <w:rFonts w:hint="eastAsia" w:ascii="宋体" w:hAnsi="宋体" w:eastAsia="宋体" w:cs="宋体"/>
              <w:color w:val="auto"/>
              <w:sz w:val="28"/>
              <w:szCs w:val="32"/>
              <w:highlight w:val="none"/>
            </w:rPr>
          </w:pPr>
          <w:r>
            <w:rPr>
              <w:rFonts w:hint="eastAsia" w:ascii="宋体" w:hAnsi="宋体" w:eastAsia="宋体" w:cs="宋体"/>
              <w:color w:val="auto"/>
              <w:sz w:val="28"/>
              <w:szCs w:val="32"/>
              <w:highlight w:val="none"/>
              <w:lang w:val="en-US" w:eastAsia="zh-CN"/>
            </w:rPr>
            <w:fldChar w:fldCharType="begin"/>
          </w:r>
          <w:r>
            <w:rPr>
              <w:rFonts w:hint="eastAsia" w:ascii="宋体" w:hAnsi="宋体" w:eastAsia="宋体" w:cs="宋体"/>
              <w:color w:val="auto"/>
              <w:sz w:val="28"/>
              <w:szCs w:val="32"/>
              <w:highlight w:val="none"/>
              <w:lang w:val="en-US" w:eastAsia="zh-CN"/>
            </w:rPr>
            <w:instrText xml:space="preserve"> HYPERLINK \l _Toc17237 </w:instrText>
          </w:r>
          <w:r>
            <w:rPr>
              <w:rFonts w:hint="eastAsia" w:ascii="宋体" w:hAnsi="宋体" w:eastAsia="宋体" w:cs="宋体"/>
              <w:color w:val="auto"/>
              <w:sz w:val="28"/>
              <w:szCs w:val="32"/>
              <w:highlight w:val="none"/>
              <w:lang w:val="en-US" w:eastAsia="zh-CN"/>
            </w:rPr>
            <w:fldChar w:fldCharType="separate"/>
          </w:r>
          <w:r>
            <w:rPr>
              <w:rFonts w:hint="eastAsia" w:ascii="宋体" w:hAnsi="宋体" w:eastAsia="宋体" w:cs="宋体"/>
              <w:bCs/>
              <w:color w:val="auto"/>
              <w:sz w:val="28"/>
              <w:szCs w:val="48"/>
              <w:highlight w:val="none"/>
            </w:rPr>
            <w:t xml:space="preserve">第四章 </w:t>
          </w:r>
          <w:r>
            <w:rPr>
              <w:rFonts w:hint="eastAsia" w:ascii="宋体" w:hAnsi="宋体" w:eastAsia="宋体" w:cs="宋体"/>
              <w:bCs/>
              <w:color w:val="auto"/>
              <w:sz w:val="28"/>
              <w:szCs w:val="48"/>
              <w:highlight w:val="none"/>
              <w:lang w:val="en-US" w:eastAsia="zh-CN"/>
            </w:rPr>
            <w:t xml:space="preserve"> </w:t>
          </w:r>
          <w:r>
            <w:rPr>
              <w:rFonts w:hint="eastAsia" w:ascii="宋体" w:hAnsi="宋体" w:eastAsia="宋体" w:cs="宋体"/>
              <w:bCs/>
              <w:color w:val="auto"/>
              <w:sz w:val="28"/>
              <w:szCs w:val="48"/>
              <w:highlight w:val="none"/>
            </w:rPr>
            <w:t>评标办法</w:t>
          </w:r>
          <w:r>
            <w:rPr>
              <w:rFonts w:hint="eastAsia" w:ascii="宋体" w:hAnsi="宋体" w:eastAsia="宋体" w:cs="宋体"/>
              <w:color w:val="auto"/>
              <w:sz w:val="28"/>
              <w:szCs w:val="32"/>
              <w:highlight w:val="none"/>
            </w:rPr>
            <w:tab/>
          </w:r>
          <w:r>
            <w:rPr>
              <w:rFonts w:hint="eastAsia" w:ascii="宋体" w:hAnsi="宋体" w:eastAsia="宋体" w:cs="宋体"/>
              <w:color w:val="auto"/>
              <w:sz w:val="28"/>
              <w:szCs w:val="32"/>
              <w:highlight w:val="none"/>
            </w:rPr>
            <w:fldChar w:fldCharType="begin"/>
          </w:r>
          <w:r>
            <w:rPr>
              <w:rFonts w:hint="eastAsia" w:ascii="宋体" w:hAnsi="宋体" w:eastAsia="宋体" w:cs="宋体"/>
              <w:color w:val="auto"/>
              <w:sz w:val="28"/>
              <w:szCs w:val="32"/>
              <w:highlight w:val="none"/>
            </w:rPr>
            <w:instrText xml:space="preserve"> PAGEREF _Toc17237 \h </w:instrText>
          </w:r>
          <w:r>
            <w:rPr>
              <w:rFonts w:hint="eastAsia" w:ascii="宋体" w:hAnsi="宋体" w:eastAsia="宋体" w:cs="宋体"/>
              <w:color w:val="auto"/>
              <w:sz w:val="28"/>
              <w:szCs w:val="32"/>
              <w:highlight w:val="none"/>
            </w:rPr>
            <w:fldChar w:fldCharType="separate"/>
          </w:r>
          <w:r>
            <w:rPr>
              <w:rFonts w:hint="eastAsia" w:ascii="宋体" w:hAnsi="宋体" w:eastAsia="宋体" w:cs="宋体"/>
              <w:color w:val="auto"/>
              <w:sz w:val="28"/>
              <w:szCs w:val="32"/>
              <w:highlight w:val="none"/>
            </w:rPr>
            <w:t>41</w:t>
          </w:r>
          <w:r>
            <w:rPr>
              <w:rFonts w:hint="eastAsia" w:ascii="宋体" w:hAnsi="宋体" w:eastAsia="宋体" w:cs="宋体"/>
              <w:color w:val="auto"/>
              <w:sz w:val="28"/>
              <w:szCs w:val="32"/>
              <w:highlight w:val="none"/>
            </w:rPr>
            <w:fldChar w:fldCharType="end"/>
          </w:r>
          <w:r>
            <w:rPr>
              <w:rFonts w:hint="eastAsia" w:ascii="宋体" w:hAnsi="宋体" w:eastAsia="宋体" w:cs="宋体"/>
              <w:color w:val="auto"/>
              <w:sz w:val="28"/>
              <w:szCs w:val="32"/>
              <w:highlight w:val="none"/>
              <w:lang w:val="en-US" w:eastAsia="zh-CN"/>
            </w:rPr>
            <w:fldChar w:fldCharType="end"/>
          </w:r>
        </w:p>
        <w:p w14:paraId="5B2844FF">
          <w:pPr>
            <w:pStyle w:val="15"/>
            <w:tabs>
              <w:tab w:val="right" w:leader="dot" w:pos="8306"/>
            </w:tabs>
            <w:rPr>
              <w:rFonts w:hint="eastAsia" w:ascii="宋体" w:hAnsi="宋体" w:eastAsia="宋体" w:cs="宋体"/>
              <w:color w:val="auto"/>
              <w:sz w:val="28"/>
              <w:szCs w:val="32"/>
              <w:highlight w:val="none"/>
            </w:rPr>
          </w:pPr>
          <w:r>
            <w:rPr>
              <w:rFonts w:hint="eastAsia" w:ascii="宋体" w:hAnsi="宋体" w:eastAsia="宋体" w:cs="宋体"/>
              <w:color w:val="auto"/>
              <w:sz w:val="28"/>
              <w:szCs w:val="32"/>
              <w:highlight w:val="none"/>
              <w:lang w:val="en-US" w:eastAsia="zh-CN"/>
            </w:rPr>
            <w:fldChar w:fldCharType="begin"/>
          </w:r>
          <w:r>
            <w:rPr>
              <w:rFonts w:hint="eastAsia" w:ascii="宋体" w:hAnsi="宋体" w:eastAsia="宋体" w:cs="宋体"/>
              <w:color w:val="auto"/>
              <w:sz w:val="28"/>
              <w:szCs w:val="32"/>
              <w:highlight w:val="none"/>
              <w:lang w:val="en-US" w:eastAsia="zh-CN"/>
            </w:rPr>
            <w:instrText xml:space="preserve"> HYPERLINK \l _Toc9032 </w:instrText>
          </w:r>
          <w:r>
            <w:rPr>
              <w:rFonts w:hint="eastAsia" w:ascii="宋体" w:hAnsi="宋体" w:eastAsia="宋体" w:cs="宋体"/>
              <w:color w:val="auto"/>
              <w:sz w:val="28"/>
              <w:szCs w:val="32"/>
              <w:highlight w:val="none"/>
              <w:lang w:val="en-US" w:eastAsia="zh-CN"/>
            </w:rPr>
            <w:fldChar w:fldCharType="separate"/>
          </w:r>
          <w:r>
            <w:rPr>
              <w:rFonts w:hint="eastAsia" w:ascii="宋体" w:hAnsi="宋体" w:eastAsia="宋体" w:cs="宋体"/>
              <w:bCs/>
              <w:color w:val="auto"/>
              <w:kern w:val="0"/>
              <w:sz w:val="28"/>
              <w:szCs w:val="48"/>
              <w:highlight w:val="none"/>
              <w:lang w:val="en-US" w:eastAsia="zh-CN" w:bidi="ar-SA"/>
            </w:rPr>
            <w:t>第五章</w:t>
          </w:r>
          <w:r>
            <w:rPr>
              <w:rFonts w:hint="eastAsia" w:ascii="宋体" w:hAnsi="宋体" w:eastAsia="宋体" w:cs="宋体"/>
              <w:bCs/>
              <w:color w:val="auto"/>
              <w:kern w:val="0"/>
              <w:sz w:val="28"/>
              <w:szCs w:val="48"/>
              <w:highlight w:val="none"/>
              <w:lang w:val="en-US" w:eastAsia="zh-CN"/>
            </w:rPr>
            <w:t xml:space="preserve">  合同条款及格式</w:t>
          </w:r>
          <w:r>
            <w:rPr>
              <w:rFonts w:hint="eastAsia" w:ascii="宋体" w:hAnsi="宋体" w:eastAsia="宋体" w:cs="宋体"/>
              <w:color w:val="auto"/>
              <w:sz w:val="28"/>
              <w:szCs w:val="32"/>
              <w:highlight w:val="none"/>
            </w:rPr>
            <w:tab/>
          </w:r>
          <w:r>
            <w:rPr>
              <w:rFonts w:hint="eastAsia" w:ascii="宋体" w:hAnsi="宋体" w:eastAsia="宋体" w:cs="宋体"/>
              <w:color w:val="auto"/>
              <w:sz w:val="28"/>
              <w:szCs w:val="32"/>
              <w:highlight w:val="none"/>
            </w:rPr>
            <w:fldChar w:fldCharType="begin"/>
          </w:r>
          <w:r>
            <w:rPr>
              <w:rFonts w:hint="eastAsia" w:ascii="宋体" w:hAnsi="宋体" w:eastAsia="宋体" w:cs="宋体"/>
              <w:color w:val="auto"/>
              <w:sz w:val="28"/>
              <w:szCs w:val="32"/>
              <w:highlight w:val="none"/>
            </w:rPr>
            <w:instrText xml:space="preserve"> PAGEREF _Toc9032 \h </w:instrText>
          </w:r>
          <w:r>
            <w:rPr>
              <w:rFonts w:hint="eastAsia" w:ascii="宋体" w:hAnsi="宋体" w:eastAsia="宋体" w:cs="宋体"/>
              <w:color w:val="auto"/>
              <w:sz w:val="28"/>
              <w:szCs w:val="32"/>
              <w:highlight w:val="none"/>
            </w:rPr>
            <w:fldChar w:fldCharType="separate"/>
          </w:r>
          <w:r>
            <w:rPr>
              <w:rFonts w:hint="eastAsia" w:ascii="宋体" w:hAnsi="宋体" w:eastAsia="宋体" w:cs="宋体"/>
              <w:color w:val="auto"/>
              <w:sz w:val="28"/>
              <w:szCs w:val="32"/>
              <w:highlight w:val="none"/>
            </w:rPr>
            <w:t>47</w:t>
          </w:r>
          <w:r>
            <w:rPr>
              <w:rFonts w:hint="eastAsia" w:ascii="宋体" w:hAnsi="宋体" w:eastAsia="宋体" w:cs="宋体"/>
              <w:color w:val="auto"/>
              <w:sz w:val="28"/>
              <w:szCs w:val="32"/>
              <w:highlight w:val="none"/>
            </w:rPr>
            <w:fldChar w:fldCharType="end"/>
          </w:r>
          <w:r>
            <w:rPr>
              <w:rFonts w:hint="eastAsia" w:ascii="宋体" w:hAnsi="宋体" w:eastAsia="宋体" w:cs="宋体"/>
              <w:color w:val="auto"/>
              <w:sz w:val="28"/>
              <w:szCs w:val="32"/>
              <w:highlight w:val="none"/>
              <w:lang w:val="en-US" w:eastAsia="zh-CN"/>
            </w:rPr>
            <w:fldChar w:fldCharType="end"/>
          </w:r>
        </w:p>
        <w:p w14:paraId="4A6CBD41">
          <w:pPr>
            <w:pStyle w:val="15"/>
            <w:tabs>
              <w:tab w:val="right" w:leader="dot" w:pos="8306"/>
            </w:tabs>
            <w:rPr>
              <w:rFonts w:hint="eastAsia" w:ascii="宋体" w:hAnsi="宋体" w:eastAsia="宋体" w:cs="宋体"/>
              <w:color w:val="auto"/>
              <w:sz w:val="28"/>
              <w:szCs w:val="32"/>
              <w:highlight w:val="none"/>
            </w:rPr>
          </w:pPr>
          <w:r>
            <w:rPr>
              <w:rFonts w:hint="eastAsia" w:ascii="宋体" w:hAnsi="宋体" w:eastAsia="宋体" w:cs="宋体"/>
              <w:color w:val="auto"/>
              <w:sz w:val="28"/>
              <w:szCs w:val="32"/>
              <w:highlight w:val="none"/>
              <w:lang w:val="en-US" w:eastAsia="zh-CN"/>
            </w:rPr>
            <w:fldChar w:fldCharType="begin"/>
          </w:r>
          <w:r>
            <w:rPr>
              <w:rFonts w:hint="eastAsia" w:ascii="宋体" w:hAnsi="宋体" w:eastAsia="宋体" w:cs="宋体"/>
              <w:color w:val="auto"/>
              <w:sz w:val="28"/>
              <w:szCs w:val="32"/>
              <w:highlight w:val="none"/>
              <w:lang w:val="en-US" w:eastAsia="zh-CN"/>
            </w:rPr>
            <w:instrText xml:space="preserve"> HYPERLINK \l _Toc5275 </w:instrText>
          </w:r>
          <w:r>
            <w:rPr>
              <w:rFonts w:hint="eastAsia" w:ascii="宋体" w:hAnsi="宋体" w:eastAsia="宋体" w:cs="宋体"/>
              <w:color w:val="auto"/>
              <w:sz w:val="28"/>
              <w:szCs w:val="32"/>
              <w:highlight w:val="none"/>
              <w:lang w:val="en-US" w:eastAsia="zh-CN"/>
            </w:rPr>
            <w:fldChar w:fldCharType="separate"/>
          </w:r>
          <w:r>
            <w:rPr>
              <w:rFonts w:hint="eastAsia" w:ascii="宋体" w:hAnsi="宋体" w:eastAsia="宋体" w:cs="宋体"/>
              <w:bCs/>
              <w:color w:val="auto"/>
              <w:sz w:val="28"/>
              <w:szCs w:val="60"/>
              <w:highlight w:val="none"/>
            </w:rPr>
            <w:t>第六章</w:t>
          </w:r>
          <w:r>
            <w:rPr>
              <w:rFonts w:hint="eastAsia" w:ascii="宋体" w:hAnsi="宋体" w:eastAsia="宋体" w:cs="宋体"/>
              <w:bCs/>
              <w:color w:val="auto"/>
              <w:sz w:val="28"/>
              <w:szCs w:val="60"/>
              <w:highlight w:val="none"/>
              <w:lang w:val="en-US" w:eastAsia="zh-CN"/>
            </w:rPr>
            <w:t xml:space="preserve"> </w:t>
          </w:r>
          <w:r>
            <w:rPr>
              <w:rFonts w:hint="eastAsia" w:ascii="宋体" w:hAnsi="宋体" w:eastAsia="宋体" w:cs="宋体"/>
              <w:bCs/>
              <w:color w:val="auto"/>
              <w:sz w:val="28"/>
              <w:szCs w:val="60"/>
              <w:highlight w:val="none"/>
            </w:rPr>
            <w:t xml:space="preserve"> 投标文件格式</w:t>
          </w:r>
          <w:r>
            <w:rPr>
              <w:rFonts w:hint="eastAsia" w:ascii="宋体" w:hAnsi="宋体" w:eastAsia="宋体" w:cs="宋体"/>
              <w:color w:val="auto"/>
              <w:sz w:val="28"/>
              <w:szCs w:val="32"/>
              <w:highlight w:val="none"/>
            </w:rPr>
            <w:tab/>
          </w:r>
          <w:r>
            <w:rPr>
              <w:rFonts w:hint="eastAsia" w:ascii="宋体" w:hAnsi="宋体" w:eastAsia="宋体" w:cs="宋体"/>
              <w:color w:val="auto"/>
              <w:sz w:val="28"/>
              <w:szCs w:val="32"/>
              <w:highlight w:val="none"/>
            </w:rPr>
            <w:fldChar w:fldCharType="begin"/>
          </w:r>
          <w:r>
            <w:rPr>
              <w:rFonts w:hint="eastAsia" w:ascii="宋体" w:hAnsi="宋体" w:eastAsia="宋体" w:cs="宋体"/>
              <w:color w:val="auto"/>
              <w:sz w:val="28"/>
              <w:szCs w:val="32"/>
              <w:highlight w:val="none"/>
            </w:rPr>
            <w:instrText xml:space="preserve"> PAGEREF _Toc5275 \h </w:instrText>
          </w:r>
          <w:r>
            <w:rPr>
              <w:rFonts w:hint="eastAsia" w:ascii="宋体" w:hAnsi="宋体" w:eastAsia="宋体" w:cs="宋体"/>
              <w:color w:val="auto"/>
              <w:sz w:val="28"/>
              <w:szCs w:val="32"/>
              <w:highlight w:val="none"/>
            </w:rPr>
            <w:fldChar w:fldCharType="separate"/>
          </w:r>
          <w:r>
            <w:rPr>
              <w:rFonts w:hint="eastAsia" w:ascii="宋体" w:hAnsi="宋体" w:eastAsia="宋体" w:cs="宋体"/>
              <w:color w:val="auto"/>
              <w:sz w:val="28"/>
              <w:szCs w:val="32"/>
              <w:highlight w:val="none"/>
            </w:rPr>
            <w:t>54</w:t>
          </w:r>
          <w:r>
            <w:rPr>
              <w:rFonts w:hint="eastAsia" w:ascii="宋体" w:hAnsi="宋体" w:eastAsia="宋体" w:cs="宋体"/>
              <w:color w:val="auto"/>
              <w:sz w:val="28"/>
              <w:szCs w:val="32"/>
              <w:highlight w:val="none"/>
            </w:rPr>
            <w:fldChar w:fldCharType="end"/>
          </w:r>
          <w:r>
            <w:rPr>
              <w:rFonts w:hint="eastAsia" w:ascii="宋体" w:hAnsi="宋体" w:eastAsia="宋体" w:cs="宋体"/>
              <w:color w:val="auto"/>
              <w:sz w:val="28"/>
              <w:szCs w:val="32"/>
              <w:highlight w:val="none"/>
              <w:lang w:val="en-US" w:eastAsia="zh-CN"/>
            </w:rPr>
            <w:fldChar w:fldCharType="end"/>
          </w:r>
        </w:p>
        <w:p w14:paraId="2EFE2D75">
          <w:pPr>
            <w:pStyle w:val="15"/>
            <w:tabs>
              <w:tab w:val="right" w:leader="dot" w:pos="8306"/>
            </w:tabs>
            <w:rPr>
              <w:rFonts w:hint="eastAsia" w:ascii="宋体" w:hAnsi="宋体" w:eastAsia="宋体" w:cs="宋体"/>
              <w:color w:val="auto"/>
              <w:sz w:val="28"/>
              <w:szCs w:val="32"/>
              <w:highlight w:val="none"/>
            </w:rPr>
          </w:pPr>
        </w:p>
        <w:p w14:paraId="1EE3CD28">
          <w:pPr>
            <w:rPr>
              <w:color w:val="auto"/>
              <w:highlight w:val="none"/>
            </w:rPr>
          </w:pPr>
          <w:r>
            <w:rPr>
              <w:rFonts w:hint="eastAsia" w:ascii="宋体" w:hAnsi="宋体" w:eastAsia="宋体" w:cs="宋体"/>
              <w:color w:val="auto"/>
              <w:sz w:val="28"/>
              <w:szCs w:val="32"/>
              <w:highlight w:val="none"/>
              <w:lang w:val="en-US" w:eastAsia="zh-CN"/>
            </w:rPr>
            <w:fldChar w:fldCharType="end"/>
          </w:r>
        </w:p>
      </w:sdtContent>
    </w:sdt>
    <w:p w14:paraId="26512004">
      <w:pPr>
        <w:shd w:val="clear" w:color="auto" w:fill="FFFFFF"/>
        <w:snapToGrid w:val="0"/>
        <w:spacing w:line="360" w:lineRule="auto"/>
        <w:ind w:right="105" w:rightChars="50"/>
        <w:jc w:val="center"/>
        <w:outlineLvl w:val="2"/>
        <w:rPr>
          <w:rFonts w:hint="eastAsia" w:ascii="宋体" w:hAnsi="宋体" w:cs="宋体"/>
          <w:b/>
          <w:bCs/>
          <w:color w:val="auto"/>
          <w:sz w:val="36"/>
          <w:szCs w:val="36"/>
          <w:highlight w:val="none"/>
        </w:rPr>
        <w:sectPr>
          <w:footerReference r:id="rId3" w:type="default"/>
          <w:footerReference r:id="rId4" w:type="even"/>
          <w:pgSz w:w="11906" w:h="16838"/>
          <w:pgMar w:top="1440" w:right="1800" w:bottom="1440" w:left="1800" w:header="851" w:footer="992" w:gutter="0"/>
          <w:cols w:space="0" w:num="1"/>
          <w:rtlGutter w:val="0"/>
          <w:docGrid w:type="lines" w:linePitch="312" w:charSpace="0"/>
        </w:sectPr>
      </w:pPr>
      <w:bookmarkStart w:id="0" w:name="_Toc821"/>
    </w:p>
    <w:p w14:paraId="4B5B2C67">
      <w:pPr>
        <w:shd w:val="clear" w:color="auto" w:fill="FFFFFF"/>
        <w:snapToGrid w:val="0"/>
        <w:spacing w:line="360" w:lineRule="auto"/>
        <w:ind w:right="105" w:rightChars="50"/>
        <w:jc w:val="center"/>
        <w:outlineLvl w:val="2"/>
        <w:rPr>
          <w:rFonts w:ascii="宋体"/>
          <w:color w:val="auto"/>
          <w:sz w:val="36"/>
          <w:szCs w:val="36"/>
          <w:highlight w:val="none"/>
        </w:rPr>
      </w:pPr>
      <w:r>
        <w:rPr>
          <w:rFonts w:hint="eastAsia" w:ascii="宋体" w:hAnsi="宋体" w:cs="宋体"/>
          <w:b/>
          <w:bCs/>
          <w:color w:val="auto"/>
          <w:sz w:val="36"/>
          <w:szCs w:val="36"/>
          <w:highlight w:val="none"/>
        </w:rPr>
        <w:t xml:space="preserve">第一章 </w:t>
      </w:r>
      <w:r>
        <w:rPr>
          <w:rFonts w:hint="eastAsia" w:ascii="宋体" w:hAnsi="宋体" w:cs="宋体"/>
          <w:b/>
          <w:bCs/>
          <w:color w:val="auto"/>
          <w:sz w:val="36"/>
          <w:szCs w:val="36"/>
          <w:highlight w:val="none"/>
          <w:lang w:val="en-US" w:eastAsia="zh-CN"/>
        </w:rPr>
        <w:t xml:space="preserve">  </w:t>
      </w:r>
      <w:r>
        <w:rPr>
          <w:rFonts w:hint="eastAsia" w:ascii="宋体" w:hAnsi="宋体" w:cs="宋体"/>
          <w:b/>
          <w:bCs/>
          <w:color w:val="auto"/>
          <w:sz w:val="36"/>
          <w:szCs w:val="36"/>
          <w:highlight w:val="none"/>
        </w:rPr>
        <w:t>招标公告</w:t>
      </w:r>
      <w:bookmarkEnd w:id="0"/>
    </w:p>
    <w:p w14:paraId="2C69641F">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项目概况</w:t>
      </w:r>
    </w:p>
    <w:p w14:paraId="019CC5EF">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lang w:eastAsia="zh-CN"/>
        </w:rPr>
        <w:t>义马市交通运输局（原G310义渑东交界处）双向不停车智能检测项目</w:t>
      </w:r>
      <w:r>
        <w:rPr>
          <w:rFonts w:hint="eastAsia" w:ascii="宋体" w:hAnsi="宋体" w:eastAsia="宋体"/>
          <w:color w:val="auto"/>
          <w:sz w:val="24"/>
          <w:szCs w:val="24"/>
          <w:highlight w:val="none"/>
        </w:rPr>
        <w:t>的潜在供应商凭CA登录三门峡市公共资源交易中心网（网址：</w:t>
      </w:r>
      <w:r>
        <w:rPr>
          <w:rFonts w:ascii="宋体" w:hAnsi="宋体" w:eastAsia="宋体"/>
          <w:color w:val="auto"/>
          <w:sz w:val="24"/>
          <w:szCs w:val="24"/>
          <w:highlight w:val="none"/>
        </w:rPr>
        <w:fldChar w:fldCharType="begin"/>
      </w:r>
      <w:r>
        <w:rPr>
          <w:rFonts w:ascii="宋体" w:hAnsi="宋体" w:eastAsia="宋体"/>
          <w:color w:val="auto"/>
          <w:sz w:val="24"/>
          <w:szCs w:val="24"/>
          <w:highlight w:val="none"/>
        </w:rPr>
        <w:instrText xml:space="preserve"> HYPERLINK "http://gzjy.smx.gov.cn/</w:instrText>
      </w:r>
      <w:r>
        <w:rPr>
          <w:rFonts w:hint="eastAsia" w:ascii="宋体" w:hAnsi="宋体" w:eastAsia="宋体"/>
          <w:color w:val="auto"/>
          <w:sz w:val="24"/>
          <w:szCs w:val="24"/>
          <w:highlight w:val="none"/>
        </w:rPr>
        <w:instrText xml:space="preserve">）获取采购文件，并于2022年</w:instrText>
      </w:r>
      <w:r>
        <w:rPr>
          <w:rFonts w:ascii="宋体" w:hAnsi="宋体" w:eastAsia="宋体"/>
          <w:color w:val="auto"/>
          <w:sz w:val="24"/>
          <w:szCs w:val="24"/>
          <w:highlight w:val="none"/>
        </w:rPr>
        <w:instrText xml:space="preserve">" </w:instrText>
      </w:r>
      <w:r>
        <w:rPr>
          <w:rFonts w:ascii="宋体" w:hAnsi="宋体" w:eastAsia="宋体"/>
          <w:color w:val="auto"/>
          <w:sz w:val="24"/>
          <w:szCs w:val="24"/>
          <w:highlight w:val="none"/>
        </w:rPr>
        <w:fldChar w:fldCharType="separate"/>
      </w:r>
      <w:r>
        <w:rPr>
          <w:rStyle w:val="21"/>
          <w:rFonts w:ascii="宋体" w:hAnsi="宋体" w:eastAsia="宋体"/>
          <w:color w:val="auto"/>
          <w:sz w:val="24"/>
          <w:szCs w:val="24"/>
          <w:highlight w:val="none"/>
        </w:rPr>
        <w:t>http://gzjy.smx.gov.cn/</w:t>
      </w:r>
      <w:r>
        <w:rPr>
          <w:rStyle w:val="21"/>
          <w:rFonts w:hint="eastAsia" w:ascii="宋体" w:hAnsi="宋体" w:eastAsia="宋体"/>
          <w:color w:val="auto"/>
          <w:sz w:val="24"/>
          <w:szCs w:val="24"/>
          <w:highlight w:val="none"/>
        </w:rPr>
        <w:t>）获取采购文件，并于</w:t>
      </w:r>
      <w:r>
        <w:rPr>
          <w:rStyle w:val="21"/>
          <w:rFonts w:hint="eastAsia" w:ascii="宋体" w:hAnsi="宋体" w:eastAsia="宋体"/>
          <w:color w:val="auto"/>
          <w:sz w:val="24"/>
          <w:szCs w:val="24"/>
          <w:highlight w:val="none"/>
          <w:lang w:eastAsia="zh-CN"/>
        </w:rPr>
        <w:t>2025年</w:t>
      </w:r>
      <w:r>
        <w:rPr>
          <w:rFonts w:ascii="宋体" w:hAnsi="宋体" w:eastAsia="宋体"/>
          <w:color w:val="auto"/>
          <w:sz w:val="24"/>
          <w:szCs w:val="24"/>
          <w:highlight w:val="none"/>
        </w:rPr>
        <w:fldChar w:fldCharType="end"/>
      </w:r>
      <w:r>
        <w:rPr>
          <w:rFonts w:hint="eastAsia" w:ascii="宋体" w:hAnsi="宋体" w:eastAsia="宋体"/>
          <w:color w:val="auto"/>
          <w:sz w:val="24"/>
          <w:szCs w:val="24"/>
          <w:highlight w:val="none"/>
        </w:rPr>
        <w:t>6月</w:t>
      </w:r>
      <w:r>
        <w:rPr>
          <w:rFonts w:hint="eastAsia" w:ascii="宋体" w:hAnsi="宋体"/>
          <w:color w:val="auto"/>
          <w:sz w:val="24"/>
          <w:szCs w:val="24"/>
          <w:highlight w:val="none"/>
          <w:lang w:val="en-US" w:eastAsia="zh-CN"/>
        </w:rPr>
        <w:t>1</w:t>
      </w:r>
      <w:r>
        <w:rPr>
          <w:rFonts w:hint="eastAsia" w:ascii="宋体" w:hAnsi="宋体" w:eastAsia="宋体"/>
          <w:color w:val="auto"/>
          <w:sz w:val="24"/>
          <w:szCs w:val="24"/>
          <w:highlight w:val="none"/>
          <w:lang w:val="en-US" w:eastAsia="zh-CN"/>
        </w:rPr>
        <w:t>8</w:t>
      </w:r>
      <w:r>
        <w:rPr>
          <w:rFonts w:hint="eastAsia" w:ascii="宋体" w:hAnsi="宋体" w:eastAsia="宋体"/>
          <w:color w:val="auto"/>
          <w:sz w:val="24"/>
          <w:szCs w:val="24"/>
          <w:highlight w:val="none"/>
        </w:rPr>
        <w:t>日8时30分（北京时间）前递交响应文件。</w:t>
      </w:r>
    </w:p>
    <w:p w14:paraId="1F5CFBB7">
      <w:pPr>
        <w:spacing w:line="360" w:lineRule="auto"/>
        <w:ind w:firstLine="480" w:firstLineChars="200"/>
        <w:outlineLvl w:val="0"/>
        <w:rPr>
          <w:rFonts w:hint="eastAsia" w:ascii="宋体" w:hAnsi="宋体" w:eastAsia="宋体"/>
          <w:color w:val="auto"/>
          <w:sz w:val="24"/>
          <w:szCs w:val="24"/>
          <w:highlight w:val="none"/>
        </w:rPr>
      </w:pPr>
      <w:bookmarkStart w:id="1" w:name="_Toc9842"/>
      <w:r>
        <w:rPr>
          <w:rFonts w:hint="eastAsia" w:ascii="宋体" w:hAnsi="宋体" w:eastAsia="宋体"/>
          <w:color w:val="auto"/>
          <w:sz w:val="24"/>
          <w:szCs w:val="24"/>
          <w:highlight w:val="none"/>
        </w:rPr>
        <w:t>一、项目基本情况</w:t>
      </w:r>
      <w:bookmarkEnd w:id="1"/>
    </w:p>
    <w:p w14:paraId="5275326B">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1、采购编号：</w:t>
      </w:r>
      <w:r>
        <w:rPr>
          <w:rFonts w:hint="eastAsia" w:ascii="宋体" w:hAnsi="宋体"/>
          <w:color w:val="auto"/>
          <w:sz w:val="24"/>
          <w:szCs w:val="24"/>
          <w:highlight w:val="none"/>
          <w:lang w:val="en-US" w:eastAsia="zh-CN"/>
        </w:rPr>
        <w:t>义马公开采购-2025-33</w:t>
      </w:r>
      <w:r>
        <w:rPr>
          <w:rFonts w:hint="eastAsia" w:ascii="宋体" w:hAnsi="宋体" w:eastAsia="宋体"/>
          <w:color w:val="auto"/>
          <w:sz w:val="24"/>
          <w:szCs w:val="24"/>
          <w:highlight w:val="none"/>
        </w:rPr>
        <w:t>；项目编号：YMGZ[2025]064-ZC042</w:t>
      </w:r>
    </w:p>
    <w:p w14:paraId="5E293520">
      <w:pPr>
        <w:spacing w:line="360" w:lineRule="auto"/>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2、采购项目名称：</w:t>
      </w:r>
      <w:r>
        <w:rPr>
          <w:rFonts w:hint="eastAsia" w:ascii="宋体" w:hAnsi="宋体" w:eastAsia="宋体"/>
          <w:color w:val="auto"/>
          <w:sz w:val="24"/>
          <w:szCs w:val="24"/>
          <w:highlight w:val="none"/>
          <w:lang w:eastAsia="zh-CN"/>
        </w:rPr>
        <w:t>义马市交通运输局（原G310义渑东交界处）双向不停车智能检测项目</w:t>
      </w:r>
    </w:p>
    <w:p w14:paraId="3B20294F">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3、采购方式：公开招标</w:t>
      </w:r>
    </w:p>
    <w:p w14:paraId="7CAA619A">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4、预算金额：</w:t>
      </w:r>
      <w:r>
        <w:rPr>
          <w:rFonts w:hint="eastAsia" w:ascii="宋体" w:hAnsi="宋体" w:eastAsia="宋体"/>
          <w:color w:val="auto"/>
          <w:sz w:val="24"/>
          <w:szCs w:val="24"/>
          <w:highlight w:val="none"/>
          <w:lang w:eastAsia="zh-CN"/>
        </w:rPr>
        <w:t>3967800.00</w:t>
      </w:r>
      <w:r>
        <w:rPr>
          <w:rFonts w:hint="eastAsia" w:ascii="宋体" w:hAnsi="宋体" w:eastAsia="宋体"/>
          <w:color w:val="auto"/>
          <w:sz w:val="24"/>
          <w:szCs w:val="24"/>
          <w:highlight w:val="none"/>
        </w:rPr>
        <w:t>元</w:t>
      </w:r>
    </w:p>
    <w:p w14:paraId="134A20D9">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   最高限价：</w:t>
      </w:r>
      <w:r>
        <w:rPr>
          <w:rFonts w:hint="eastAsia" w:ascii="宋体" w:hAnsi="宋体" w:eastAsia="宋体"/>
          <w:color w:val="auto"/>
          <w:sz w:val="24"/>
          <w:szCs w:val="24"/>
          <w:highlight w:val="none"/>
          <w:lang w:eastAsia="zh-CN"/>
        </w:rPr>
        <w:t>3967800.00</w:t>
      </w:r>
      <w:r>
        <w:rPr>
          <w:rFonts w:hint="eastAsia" w:ascii="宋体" w:hAnsi="宋体" w:eastAsia="宋体"/>
          <w:color w:val="auto"/>
          <w:sz w:val="24"/>
          <w:szCs w:val="24"/>
          <w:highlight w:val="none"/>
        </w:rPr>
        <w:t>元</w:t>
      </w:r>
    </w:p>
    <w:p w14:paraId="2DE99706">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5、采购需求（包括但不限于标的的名称、数量、简要技术需求或服务要求等）</w:t>
      </w:r>
    </w:p>
    <w:p w14:paraId="6A03F0FA">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5.1采购内容：本项目为</w:t>
      </w:r>
      <w:r>
        <w:rPr>
          <w:rFonts w:hint="eastAsia" w:ascii="宋体" w:hAnsi="宋体" w:eastAsia="宋体"/>
          <w:color w:val="auto"/>
          <w:sz w:val="24"/>
          <w:szCs w:val="24"/>
          <w:highlight w:val="none"/>
          <w:lang w:eastAsia="zh-CN"/>
        </w:rPr>
        <w:t>义马市交通运输局（原G310义渑东交界处）双向不停车智能检测项目</w:t>
      </w:r>
      <w:r>
        <w:rPr>
          <w:rFonts w:hint="eastAsia" w:ascii="宋体" w:hAnsi="宋体" w:eastAsia="宋体"/>
          <w:color w:val="auto"/>
          <w:sz w:val="24"/>
          <w:szCs w:val="24"/>
          <w:highlight w:val="none"/>
        </w:rPr>
        <w:t>，主要采购内容：高速动态称重系统</w:t>
      </w:r>
      <w:r>
        <w:rPr>
          <w:rFonts w:hint="eastAsia" w:ascii="宋体" w:hAnsi="宋体" w:eastAsia="宋体"/>
          <w:color w:val="auto"/>
          <w:sz w:val="24"/>
          <w:szCs w:val="24"/>
          <w:highlight w:val="none"/>
          <w:lang w:eastAsia="zh-CN"/>
        </w:rPr>
        <w:t>、车牌识别抓拍系统视频监控系统、信息发布系统</w:t>
      </w:r>
      <w:r>
        <w:rPr>
          <w:rFonts w:hint="eastAsia" w:ascii="宋体" w:hAnsi="宋体" w:eastAsia="宋体"/>
          <w:color w:val="auto"/>
          <w:sz w:val="24"/>
          <w:szCs w:val="24"/>
          <w:highlight w:val="none"/>
          <w:lang w:val="en-US" w:eastAsia="zh-CN"/>
        </w:rPr>
        <w:t>等（</w:t>
      </w:r>
      <w:r>
        <w:rPr>
          <w:rFonts w:hint="eastAsia" w:ascii="宋体" w:hAnsi="宋体" w:eastAsia="宋体" w:cs="Times New Roman"/>
          <w:color w:val="auto"/>
          <w:sz w:val="24"/>
          <w:szCs w:val="24"/>
          <w:highlight w:val="none"/>
          <w:lang w:val="en-US" w:eastAsia="zh-CN"/>
        </w:rPr>
        <w:t>具体要求详见招标文件</w:t>
      </w: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w:t>
      </w:r>
    </w:p>
    <w:p w14:paraId="7DEAE400">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5.2资金来源：财政资金，已落实</w:t>
      </w:r>
    </w:p>
    <w:p w14:paraId="7C782B54">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5.3交货期限：签订合同内60日历天内完成供货、安装及调试完毕 </w:t>
      </w:r>
    </w:p>
    <w:p w14:paraId="0398676F">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5.4质量要求：合格</w:t>
      </w:r>
    </w:p>
    <w:p w14:paraId="57953087">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5.5质保期：三年</w:t>
      </w:r>
    </w:p>
    <w:p w14:paraId="09F9EAF6">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5.6交货地点：</w:t>
      </w:r>
      <w:r>
        <w:rPr>
          <w:rFonts w:hint="eastAsia" w:ascii="宋体" w:hAnsi="宋体" w:cs="Times New Roman"/>
          <w:color w:val="auto"/>
          <w:sz w:val="24"/>
          <w:szCs w:val="24"/>
          <w:highlight w:val="none"/>
          <w:lang w:eastAsia="zh-CN"/>
        </w:rPr>
        <w:t>原G310义渑东交界处</w:t>
      </w:r>
    </w:p>
    <w:p w14:paraId="48C97174">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6、合同履行期限：签订合同内60日历天内完成供货、安装及调试完毕</w:t>
      </w:r>
    </w:p>
    <w:p w14:paraId="26230713">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7、本项目是否接受联合体投标：否</w:t>
      </w:r>
    </w:p>
    <w:p w14:paraId="205009D6">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8、是否接受进口产品：否</w:t>
      </w:r>
    </w:p>
    <w:p w14:paraId="6D6C7243">
      <w:pPr>
        <w:spacing w:line="360" w:lineRule="auto"/>
        <w:ind w:firstLine="480" w:firstLineChars="200"/>
        <w:outlineLvl w:val="0"/>
        <w:rPr>
          <w:rFonts w:hint="eastAsia" w:ascii="宋体" w:hAnsi="宋体" w:eastAsia="宋体"/>
          <w:color w:val="auto"/>
          <w:sz w:val="24"/>
          <w:szCs w:val="24"/>
          <w:highlight w:val="none"/>
        </w:rPr>
      </w:pPr>
      <w:bookmarkStart w:id="2" w:name="_Toc30639"/>
      <w:bookmarkStart w:id="3" w:name="_Toc28015"/>
      <w:r>
        <w:rPr>
          <w:rFonts w:hint="eastAsia" w:ascii="宋体" w:hAnsi="宋体" w:eastAsia="宋体"/>
          <w:color w:val="auto"/>
          <w:sz w:val="24"/>
          <w:szCs w:val="24"/>
          <w:highlight w:val="none"/>
        </w:rPr>
        <w:t>二、申请人资格要求：</w:t>
      </w:r>
      <w:bookmarkEnd w:id="2"/>
      <w:bookmarkEnd w:id="3"/>
    </w:p>
    <w:p w14:paraId="6EF9C168">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1、满足《中华人民共和国政府采购法》第二十二条规定</w:t>
      </w:r>
    </w:p>
    <w:p w14:paraId="5A702EFB">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2、落实政府采购政策满足的资格要求：本项目非专门面向中小微企业采购项目，执行促进中小型企业发展政策（残疾人福利性企业、监狱企业视同小微企业）、优先采购节能环保产品等政府采购政策</w:t>
      </w:r>
    </w:p>
    <w:p w14:paraId="36E71565">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3、本项目的特定资格要求</w:t>
      </w:r>
    </w:p>
    <w:p w14:paraId="7055FEF9">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（1）供应商须具有有效的营业执照；</w:t>
      </w:r>
    </w:p>
    <w:p w14:paraId="3BE313F1">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（2）供应商出具企业及法人代表无商业贿赂及无不正当竞争行为的承诺书；</w:t>
      </w:r>
    </w:p>
    <w:p w14:paraId="2A9508D7">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（3）提供供应商企业、法定代表人无行贿犯罪记录，在中国裁判文书网查询（提供网页查询截图）或供应商自行承诺；</w:t>
      </w:r>
    </w:p>
    <w:p w14:paraId="7A5E76B8">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未列入“中国执行信息公开网”http://zxgk.court.gov.cn/shixin网站的“失信被执行人”名单、“信用中国”www.creditchina.gov.cn网站的“重大税收违法失信主体”及“中国政府采购网”www.ccgp.gov.cn网站的“政府采购严重违法失信行为记录名单”；（提供“中国执行信息公开网”、“信用中国”和“中国政府采购网”网站的查询信息截图，加盖单位公章，截图需显示查询时间，查询时间：自公告发布之日起至投标截止时间前）；</w:t>
      </w:r>
    </w:p>
    <w:p w14:paraId="57279331">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5）单位负责人为同一人或者存在直接控股、管理关系的不同投标人，不得参加同一合同项下的采购活动；（提供“国家企业信用信息公示系统”中查询打印的相关信息并加盖公章（查询信息需包含公司基本信息、股东信息及股权变更信息等相关信息，查询日期为本项目公告发布之后至开标截止时间止））</w:t>
      </w:r>
    </w:p>
    <w:p w14:paraId="04290788">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）本项目不接受联合体投标</w:t>
      </w:r>
      <w:r>
        <w:rPr>
          <w:rFonts w:hint="eastAsia" w:ascii="宋体" w:hAnsi="宋体" w:eastAsia="宋体"/>
          <w:color w:val="auto"/>
          <w:sz w:val="24"/>
          <w:szCs w:val="24"/>
          <w:highlight w:val="none"/>
        </w:rPr>
        <w:t>。</w:t>
      </w:r>
    </w:p>
    <w:p w14:paraId="507DBCE0">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lang w:eastAsia="zh-CN"/>
        </w:rPr>
        <w:t>本次招标实行资格后审，资格评审以投标文件为准，其上传资料真实性由供应商自行承担，同时供应商要完善主体库；</w:t>
      </w:r>
      <w:r>
        <w:rPr>
          <w:rFonts w:hint="eastAsia" w:ascii="宋体" w:hAnsi="宋体" w:eastAsia="宋体"/>
          <w:color w:val="auto"/>
          <w:sz w:val="24"/>
          <w:szCs w:val="24"/>
          <w:highlight w:val="none"/>
          <w:lang w:val="en-US" w:eastAsia="zh-CN"/>
        </w:rPr>
        <w:t>其中</w:t>
      </w:r>
      <w:r>
        <w:rPr>
          <w:rFonts w:hint="eastAsia" w:ascii="宋体" w:hAnsi="宋体" w:eastAsia="宋体"/>
          <w:color w:val="auto"/>
          <w:sz w:val="24"/>
          <w:szCs w:val="24"/>
          <w:highlight w:val="none"/>
          <w:lang w:eastAsia="zh-CN"/>
        </w:rPr>
        <w:t>银行、保险、石油石化、电力、电信等有行业特殊情况的，允许分公司投标，但同一上级公司的两个分支机构不得同时参加投标，分支机构允许使用所属法人单位的相关资料进行投标。</w:t>
      </w:r>
    </w:p>
    <w:p w14:paraId="1203024A">
      <w:pPr>
        <w:spacing w:line="360" w:lineRule="auto"/>
        <w:ind w:firstLine="480" w:firstLineChars="200"/>
        <w:outlineLvl w:val="0"/>
        <w:rPr>
          <w:rFonts w:hint="eastAsia" w:ascii="宋体" w:hAnsi="宋体" w:eastAsia="宋体"/>
          <w:color w:val="auto"/>
          <w:sz w:val="24"/>
          <w:szCs w:val="24"/>
          <w:highlight w:val="none"/>
        </w:rPr>
      </w:pPr>
      <w:bookmarkStart w:id="4" w:name="_Toc15009"/>
      <w:bookmarkStart w:id="5" w:name="_Toc26823"/>
      <w:r>
        <w:rPr>
          <w:rFonts w:hint="eastAsia" w:ascii="宋体" w:hAnsi="宋体" w:eastAsia="宋体"/>
          <w:color w:val="auto"/>
          <w:sz w:val="24"/>
          <w:szCs w:val="24"/>
          <w:highlight w:val="none"/>
        </w:rPr>
        <w:t>三、获取招标文件：</w:t>
      </w:r>
      <w:bookmarkEnd w:id="4"/>
      <w:bookmarkEnd w:id="5"/>
    </w:p>
    <w:p w14:paraId="38CC0241">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1、时间：</w:t>
      </w:r>
      <w:r>
        <w:rPr>
          <w:rFonts w:hint="eastAsia" w:ascii="宋体" w:hAnsi="宋体" w:eastAsia="宋体"/>
          <w:color w:val="auto"/>
          <w:sz w:val="24"/>
          <w:szCs w:val="24"/>
          <w:highlight w:val="none"/>
          <w:lang w:eastAsia="zh-CN"/>
        </w:rPr>
        <w:t>2025年</w:t>
      </w:r>
      <w:r>
        <w:rPr>
          <w:rFonts w:hint="eastAsia" w:ascii="宋体" w:hAnsi="宋体" w:eastAsia="宋体"/>
          <w:color w:val="auto"/>
          <w:sz w:val="24"/>
          <w:szCs w:val="24"/>
          <w:highlight w:val="none"/>
          <w:lang w:val="en-US" w:eastAsia="zh-CN"/>
        </w:rPr>
        <w:t>5</w:t>
      </w:r>
      <w:r>
        <w:rPr>
          <w:rFonts w:hint="eastAsia" w:ascii="宋体" w:hAnsi="宋体" w:eastAsia="宋体"/>
          <w:color w:val="auto"/>
          <w:sz w:val="24"/>
          <w:szCs w:val="24"/>
          <w:highlight w:val="none"/>
        </w:rPr>
        <w:t>月</w:t>
      </w:r>
      <w:r>
        <w:rPr>
          <w:rFonts w:hint="eastAsia" w:ascii="宋体" w:hAnsi="宋体" w:eastAsia="宋体"/>
          <w:color w:val="auto"/>
          <w:sz w:val="24"/>
          <w:szCs w:val="24"/>
          <w:highlight w:val="none"/>
          <w:lang w:val="en-US" w:eastAsia="zh-CN"/>
        </w:rPr>
        <w:t>2</w:t>
      </w:r>
      <w:r>
        <w:rPr>
          <w:rFonts w:hint="eastAsia" w:ascii="宋体" w:hAnsi="宋体"/>
          <w:color w:val="auto"/>
          <w:sz w:val="24"/>
          <w:szCs w:val="24"/>
          <w:highlight w:val="none"/>
          <w:lang w:val="en-US" w:eastAsia="zh-CN"/>
        </w:rPr>
        <w:t>9</w:t>
      </w:r>
      <w:r>
        <w:rPr>
          <w:rFonts w:hint="eastAsia" w:ascii="宋体" w:hAnsi="宋体" w:eastAsia="宋体"/>
          <w:color w:val="auto"/>
          <w:sz w:val="24"/>
          <w:szCs w:val="24"/>
          <w:highlight w:val="none"/>
        </w:rPr>
        <w:t>日8时00分至</w:t>
      </w:r>
      <w:r>
        <w:rPr>
          <w:rFonts w:hint="eastAsia" w:ascii="宋体" w:hAnsi="宋体" w:eastAsia="宋体"/>
          <w:color w:val="auto"/>
          <w:sz w:val="24"/>
          <w:szCs w:val="24"/>
          <w:highlight w:val="none"/>
          <w:lang w:eastAsia="zh-CN"/>
        </w:rPr>
        <w:t>2025年</w:t>
      </w:r>
      <w:r>
        <w:rPr>
          <w:rFonts w:hint="eastAsia" w:ascii="宋体" w:hAnsi="宋体" w:eastAsia="宋体"/>
          <w:color w:val="auto"/>
          <w:sz w:val="24"/>
          <w:szCs w:val="24"/>
          <w:highlight w:val="none"/>
        </w:rPr>
        <w:t>6月</w:t>
      </w:r>
      <w:r>
        <w:rPr>
          <w:rFonts w:hint="eastAsia" w:ascii="宋体" w:hAnsi="宋体"/>
          <w:color w:val="auto"/>
          <w:sz w:val="24"/>
          <w:szCs w:val="24"/>
          <w:highlight w:val="none"/>
          <w:lang w:val="en-US" w:eastAsia="zh-CN"/>
        </w:rPr>
        <w:t>18</w:t>
      </w:r>
      <w:r>
        <w:rPr>
          <w:rFonts w:hint="eastAsia" w:ascii="宋体" w:hAnsi="宋体" w:eastAsia="宋体"/>
          <w:color w:val="auto"/>
          <w:sz w:val="24"/>
          <w:szCs w:val="24"/>
          <w:highlight w:val="none"/>
        </w:rPr>
        <w:t>日8时30分（北京时间，下同）</w:t>
      </w:r>
    </w:p>
    <w:p w14:paraId="505C2CCF">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2、地点：三门峡市公共资源交易中心网。</w:t>
      </w:r>
    </w:p>
    <w:p w14:paraId="2B22AA29">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方式：凡有意参加的投标人，须完成市场主体信息库登记并取得CA数字证书，凭CA数字证书登录三门峡市公共资源交易中心网，点击交易平台选择“市场主体登录”，在所参与项目右侧点击参与投标，即可直接下载本项目采购文件（采购文件中包含清单等投标所需一切内容）。具体操作请查看以下链接：</w:t>
      </w:r>
    </w:p>
    <w:p w14:paraId="5993DAD3">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三门峡市公共资源交易平台操作手册：</w:t>
      </w:r>
    </w:p>
    <w:p w14:paraId="187A5F66">
      <w:pPr>
        <w:spacing w:line="360" w:lineRule="auto"/>
        <w:ind w:firstLine="560" w:firstLineChars="200"/>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rPr>
        <w:fldChar w:fldCharType="begin"/>
      </w:r>
      <w:r>
        <w:rPr>
          <w:rFonts w:hint="eastAsia" w:ascii="宋体" w:hAnsi="宋体" w:eastAsia="宋体" w:cs="宋体"/>
          <w:i w:val="0"/>
          <w:iCs w:val="0"/>
          <w:caps w:val="0"/>
          <w:color w:val="auto"/>
          <w:spacing w:val="0"/>
          <w:sz w:val="28"/>
          <w:szCs w:val="28"/>
          <w:highlight w:val="none"/>
        </w:rPr>
        <w:instrText xml:space="preserve"> HYPERLINK "http://gzjy.smx.gov.cn/bzzx/008001/20200325/1d4d9bd4-82a2-4284-b2f7-428c4c69ef58.html" </w:instrText>
      </w:r>
      <w:r>
        <w:rPr>
          <w:rFonts w:hint="eastAsia" w:ascii="宋体" w:hAnsi="宋体" w:eastAsia="宋体" w:cs="宋体"/>
          <w:i w:val="0"/>
          <w:iCs w:val="0"/>
          <w:caps w:val="0"/>
          <w:color w:val="auto"/>
          <w:spacing w:val="0"/>
          <w:sz w:val="28"/>
          <w:szCs w:val="28"/>
          <w:highlight w:val="none"/>
        </w:rPr>
        <w:fldChar w:fldCharType="separate"/>
      </w:r>
      <w:r>
        <w:rPr>
          <w:rStyle w:val="21"/>
          <w:rFonts w:hint="eastAsia" w:ascii="宋体" w:hAnsi="宋体" w:eastAsia="宋体" w:cs="宋体"/>
          <w:i w:val="0"/>
          <w:iCs w:val="0"/>
          <w:caps w:val="0"/>
          <w:color w:val="auto"/>
          <w:spacing w:val="0"/>
          <w:sz w:val="28"/>
          <w:szCs w:val="28"/>
          <w:highlight w:val="none"/>
        </w:rPr>
        <w:t>http://gzjy.smx.gov.cn/bzzx/008001/20200325/1d4d9bd4-82a2-4284-b2f7-428c4c69ef58.html</w:t>
      </w:r>
      <w:r>
        <w:rPr>
          <w:rFonts w:hint="eastAsia" w:ascii="宋体" w:hAnsi="宋体" w:eastAsia="宋体" w:cs="宋体"/>
          <w:i w:val="0"/>
          <w:iCs w:val="0"/>
          <w:caps w:val="0"/>
          <w:color w:val="auto"/>
          <w:spacing w:val="0"/>
          <w:sz w:val="28"/>
          <w:szCs w:val="28"/>
          <w:highlight w:val="none"/>
        </w:rPr>
        <w:fldChar w:fldCharType="end"/>
      </w:r>
    </w:p>
    <w:p w14:paraId="478E313C">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CA证书：http://gzjy.smx.gov.cn/bzzx/008001/20211105/57b16af9-ab87-4395-a723-7758c628a3f8.html</w:t>
      </w:r>
    </w:p>
    <w:p w14:paraId="04A1DCB5">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根据《关于进一步加强公共资源交易管理持续优化营商环境的通知》（三公管办[2020]2号）文件的要求，采购文件费用不再收取。</w:t>
      </w:r>
    </w:p>
    <w:p w14:paraId="6AE4EB1C">
      <w:pPr>
        <w:spacing w:line="360" w:lineRule="auto"/>
        <w:ind w:firstLine="480" w:firstLineChars="200"/>
        <w:outlineLvl w:val="0"/>
        <w:rPr>
          <w:rFonts w:hint="eastAsia" w:ascii="宋体" w:hAnsi="宋体" w:eastAsia="宋体"/>
          <w:color w:val="auto"/>
          <w:sz w:val="24"/>
          <w:szCs w:val="24"/>
          <w:highlight w:val="none"/>
        </w:rPr>
      </w:pPr>
      <w:bookmarkStart w:id="6" w:name="_Toc7813"/>
      <w:bookmarkStart w:id="7" w:name="_Toc1463"/>
      <w:r>
        <w:rPr>
          <w:rFonts w:hint="eastAsia" w:ascii="宋体" w:hAnsi="宋体" w:eastAsia="宋体"/>
          <w:color w:val="auto"/>
          <w:sz w:val="24"/>
          <w:szCs w:val="24"/>
          <w:highlight w:val="none"/>
        </w:rPr>
        <w:t>四、投标截止时间及地点：</w:t>
      </w:r>
      <w:bookmarkEnd w:id="6"/>
      <w:bookmarkEnd w:id="7"/>
    </w:p>
    <w:p w14:paraId="7CDF69D2">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1、时间：</w:t>
      </w:r>
      <w:r>
        <w:rPr>
          <w:rFonts w:hint="eastAsia" w:ascii="宋体" w:hAnsi="宋体" w:eastAsia="宋体"/>
          <w:color w:val="auto"/>
          <w:sz w:val="24"/>
          <w:szCs w:val="24"/>
          <w:highlight w:val="none"/>
          <w:lang w:eastAsia="zh-CN"/>
        </w:rPr>
        <w:t>2025年</w:t>
      </w:r>
      <w:r>
        <w:rPr>
          <w:rFonts w:hint="eastAsia" w:ascii="宋体" w:hAnsi="宋体" w:eastAsia="宋体"/>
          <w:color w:val="auto"/>
          <w:sz w:val="24"/>
          <w:szCs w:val="24"/>
          <w:highlight w:val="none"/>
        </w:rPr>
        <w:t>6月</w:t>
      </w:r>
      <w:r>
        <w:rPr>
          <w:rFonts w:hint="eastAsia" w:ascii="宋体" w:hAnsi="宋体"/>
          <w:color w:val="auto"/>
          <w:sz w:val="24"/>
          <w:szCs w:val="24"/>
          <w:highlight w:val="none"/>
          <w:lang w:val="en-US" w:eastAsia="zh-CN"/>
        </w:rPr>
        <w:t>1</w:t>
      </w:r>
      <w:r>
        <w:rPr>
          <w:rFonts w:hint="eastAsia" w:ascii="宋体" w:hAnsi="宋体" w:eastAsia="宋体"/>
          <w:color w:val="auto"/>
          <w:sz w:val="24"/>
          <w:szCs w:val="24"/>
          <w:highlight w:val="none"/>
          <w:lang w:val="en-US" w:eastAsia="zh-CN"/>
        </w:rPr>
        <w:t>8</w:t>
      </w:r>
      <w:r>
        <w:rPr>
          <w:rFonts w:hint="eastAsia" w:ascii="宋体" w:hAnsi="宋体" w:eastAsia="宋体"/>
          <w:color w:val="auto"/>
          <w:sz w:val="24"/>
          <w:szCs w:val="24"/>
          <w:highlight w:val="none"/>
        </w:rPr>
        <w:t>日8时30分（北京时间），逾期上传递交投标文件的，采购人不予受理。</w:t>
      </w:r>
    </w:p>
    <w:p w14:paraId="1640E4AD">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2、地点：在三门峡市公共资源交易中心网中上传加密响应文件。</w:t>
      </w:r>
    </w:p>
    <w:p w14:paraId="5F79551B">
      <w:pPr>
        <w:spacing w:line="360" w:lineRule="auto"/>
        <w:ind w:firstLine="480" w:firstLineChars="200"/>
        <w:outlineLvl w:val="0"/>
        <w:rPr>
          <w:rFonts w:hint="eastAsia" w:ascii="宋体" w:hAnsi="宋体" w:eastAsia="宋体"/>
          <w:color w:val="auto"/>
          <w:sz w:val="24"/>
          <w:szCs w:val="24"/>
          <w:highlight w:val="none"/>
        </w:rPr>
      </w:pPr>
      <w:bookmarkStart w:id="8" w:name="_Toc25700"/>
      <w:bookmarkStart w:id="9" w:name="_Toc31723"/>
      <w:r>
        <w:rPr>
          <w:rFonts w:hint="eastAsia" w:ascii="宋体" w:hAnsi="宋体" w:eastAsia="宋体"/>
          <w:color w:val="auto"/>
          <w:sz w:val="24"/>
          <w:szCs w:val="24"/>
          <w:highlight w:val="none"/>
        </w:rPr>
        <w:t>五、开标时间及地点：</w:t>
      </w:r>
      <w:bookmarkEnd w:id="8"/>
      <w:bookmarkEnd w:id="9"/>
    </w:p>
    <w:p w14:paraId="51322612">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1、开标时间：</w:t>
      </w:r>
      <w:r>
        <w:rPr>
          <w:rFonts w:hint="eastAsia" w:ascii="宋体" w:hAnsi="宋体" w:eastAsia="宋体"/>
          <w:color w:val="auto"/>
          <w:sz w:val="24"/>
          <w:szCs w:val="24"/>
          <w:highlight w:val="none"/>
          <w:lang w:eastAsia="zh-CN"/>
        </w:rPr>
        <w:t>2025年</w:t>
      </w:r>
      <w:r>
        <w:rPr>
          <w:rFonts w:hint="eastAsia" w:ascii="宋体" w:hAnsi="宋体" w:eastAsia="宋体"/>
          <w:color w:val="auto"/>
          <w:sz w:val="24"/>
          <w:szCs w:val="24"/>
          <w:highlight w:val="none"/>
        </w:rPr>
        <w:t>6月</w:t>
      </w:r>
      <w:r>
        <w:rPr>
          <w:rFonts w:hint="eastAsia" w:ascii="宋体" w:hAnsi="宋体"/>
          <w:color w:val="auto"/>
          <w:sz w:val="24"/>
          <w:szCs w:val="24"/>
          <w:highlight w:val="none"/>
          <w:lang w:val="en-US" w:eastAsia="zh-CN"/>
        </w:rPr>
        <w:t>18</w:t>
      </w:r>
      <w:r>
        <w:rPr>
          <w:rFonts w:hint="eastAsia" w:ascii="宋体" w:hAnsi="宋体" w:eastAsia="宋体"/>
          <w:color w:val="auto"/>
          <w:sz w:val="24"/>
          <w:szCs w:val="24"/>
          <w:highlight w:val="none"/>
        </w:rPr>
        <w:t>日8时30分（北京时间）</w:t>
      </w:r>
    </w:p>
    <w:p w14:paraId="2CF8437E">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2、开标地点：义马市公共资源交易中心开标</w:t>
      </w:r>
      <w:r>
        <w:rPr>
          <w:rFonts w:hint="eastAsia" w:ascii="宋体" w:hAnsi="宋体"/>
          <w:color w:val="auto"/>
          <w:sz w:val="24"/>
          <w:szCs w:val="24"/>
          <w:highlight w:val="none"/>
          <w:lang w:val="en-US" w:eastAsia="zh-CN"/>
        </w:rPr>
        <w:t>一</w:t>
      </w:r>
      <w:r>
        <w:rPr>
          <w:rFonts w:hint="eastAsia" w:ascii="宋体" w:hAnsi="宋体" w:eastAsia="宋体"/>
          <w:color w:val="auto"/>
          <w:sz w:val="24"/>
          <w:szCs w:val="24"/>
          <w:highlight w:val="none"/>
        </w:rPr>
        <w:t>室</w:t>
      </w:r>
    </w:p>
    <w:p w14:paraId="2A25555C">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3、开标方式：本项目为不见面开标项目</w:t>
      </w:r>
    </w:p>
    <w:p w14:paraId="24AFE6C0">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注：本项目为不见面开标项目，开标当日供应商不得到开标现场参加开标会议，投标人应当在投标截止时间前，登陆不见面开标大厅选择登陆三门峡市公共资源电子招投标系统进行登陆，网址为：</w:t>
      </w:r>
    </w:p>
    <w:p w14:paraId="4EF1174E">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http://120.194.249.36:10094/BidOpening/bidopeninghallaction/hall/login,在线准时参加开标活动并进行投标文件解密等。每位投标人的解密时间为开标时间起30分钟内完成。因投标人原因未能解密、解密失败或解密超时的将被拒绝。</w:t>
      </w:r>
    </w:p>
    <w:p w14:paraId="56FF924F">
      <w:pPr>
        <w:spacing w:line="360" w:lineRule="auto"/>
        <w:ind w:firstLine="480" w:firstLineChars="200"/>
        <w:outlineLvl w:val="0"/>
        <w:rPr>
          <w:rFonts w:hint="eastAsia" w:ascii="宋体" w:hAnsi="宋体" w:eastAsia="宋体"/>
          <w:color w:val="auto"/>
          <w:sz w:val="24"/>
          <w:szCs w:val="24"/>
          <w:highlight w:val="none"/>
        </w:rPr>
      </w:pPr>
      <w:bookmarkStart w:id="10" w:name="_Toc21889"/>
      <w:bookmarkStart w:id="11" w:name="_Toc17925"/>
      <w:r>
        <w:rPr>
          <w:rFonts w:hint="eastAsia" w:ascii="宋体" w:hAnsi="宋体" w:eastAsia="宋体"/>
          <w:color w:val="auto"/>
          <w:sz w:val="24"/>
          <w:szCs w:val="24"/>
          <w:highlight w:val="none"/>
        </w:rPr>
        <w:t>六、发布公告的媒介及招标公告期限</w:t>
      </w:r>
      <w:bookmarkEnd w:id="10"/>
      <w:bookmarkEnd w:id="11"/>
    </w:p>
    <w:p w14:paraId="68432CED">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本次招标公告在《河南省政府采购网》、《三门峡市公共资源交易中心网》、</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lang w:val="en-US" w:eastAsia="zh-CN"/>
        </w:rPr>
        <w:t>中国招标投标公共服务平台</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同时发布，招标公告期限为五个工作日。</w:t>
      </w:r>
    </w:p>
    <w:p w14:paraId="5D8B6974">
      <w:pPr>
        <w:spacing w:line="360" w:lineRule="auto"/>
        <w:ind w:firstLine="480" w:firstLineChars="200"/>
        <w:outlineLvl w:val="0"/>
        <w:rPr>
          <w:rFonts w:hint="eastAsia" w:ascii="宋体" w:hAnsi="宋体" w:eastAsia="宋体"/>
          <w:color w:val="auto"/>
          <w:sz w:val="24"/>
          <w:szCs w:val="24"/>
          <w:highlight w:val="none"/>
        </w:rPr>
      </w:pPr>
      <w:bookmarkStart w:id="12" w:name="_Toc26183"/>
      <w:bookmarkStart w:id="13" w:name="_Toc13291"/>
      <w:r>
        <w:rPr>
          <w:rFonts w:hint="eastAsia" w:ascii="宋体" w:hAnsi="宋体" w:eastAsia="宋体"/>
          <w:color w:val="auto"/>
          <w:sz w:val="24"/>
          <w:szCs w:val="24"/>
          <w:highlight w:val="none"/>
        </w:rPr>
        <w:t>七、其他补充事宜</w:t>
      </w:r>
      <w:bookmarkEnd w:id="12"/>
      <w:bookmarkEnd w:id="13"/>
    </w:p>
    <w:p w14:paraId="4AF99F1F">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1、投标人应仔细阅读操作手册，在本公告中要求的截止时间前完成网上投标文件的递交等工作。因投标人操作不当等问题造成的无法下载采购文件、无法投标等一切后果，由投标人自行承担；</w:t>
      </w:r>
    </w:p>
    <w:p w14:paraId="3CC51519">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2、根据《河南省财政厅关于优化政府采购营商环境有关问题的通知》（豫财购【2019】4号）第6条的规定，投标保证金不再收取。投标人需提供投标承诺书。</w:t>
      </w:r>
    </w:p>
    <w:p w14:paraId="0907FF41">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3、投标人递交的投标文件不论中标与否均不予退还；</w:t>
      </w:r>
    </w:p>
    <w:p w14:paraId="4C2D2E81">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4、开标所发生的一切费用由供应商自行承担，并承担相应的风险和责任；</w:t>
      </w:r>
    </w:p>
    <w:p w14:paraId="620B27A7">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本项目实行资格后审，审查内容以投标截止时间前在三门峡市公共资源交易平台“投标文件”上传的信息为准。规定时间外上传或更改的信息不作为评标依据。投标文件中上传的信息真实有效，扫描件清晰可辨。否则，由此造成应得分而未得分或资格审查不合格等情况的，由投标人承担责任。</w:t>
      </w:r>
    </w:p>
    <w:p w14:paraId="7E317FD3">
      <w:pPr>
        <w:spacing w:line="360" w:lineRule="auto"/>
        <w:ind w:firstLine="480" w:firstLineChars="200"/>
        <w:outlineLvl w:val="0"/>
        <w:rPr>
          <w:rFonts w:hint="eastAsia" w:ascii="宋体" w:hAnsi="宋体" w:eastAsia="宋体"/>
          <w:color w:val="auto"/>
          <w:sz w:val="24"/>
          <w:szCs w:val="24"/>
          <w:highlight w:val="none"/>
        </w:rPr>
      </w:pPr>
      <w:bookmarkStart w:id="14" w:name="_Toc14294"/>
      <w:bookmarkStart w:id="15" w:name="_Toc22913"/>
      <w:r>
        <w:rPr>
          <w:rFonts w:hint="eastAsia" w:ascii="宋体" w:hAnsi="宋体" w:eastAsia="宋体"/>
          <w:color w:val="auto"/>
          <w:sz w:val="24"/>
          <w:szCs w:val="24"/>
          <w:highlight w:val="none"/>
        </w:rPr>
        <w:t>八、凡对本次招标提出询问，请按照以下方式联系</w:t>
      </w:r>
      <w:bookmarkEnd w:id="14"/>
      <w:bookmarkEnd w:id="15"/>
    </w:p>
    <w:p w14:paraId="4F3D5181">
      <w:pPr>
        <w:spacing w:line="360" w:lineRule="auto"/>
        <w:ind w:firstLine="480" w:firstLineChars="200"/>
        <w:outlineLvl w:val="1"/>
        <w:rPr>
          <w:rFonts w:hint="eastAsia" w:ascii="宋体" w:hAnsi="宋体" w:eastAsia="宋体"/>
          <w:color w:val="auto"/>
          <w:sz w:val="24"/>
          <w:szCs w:val="24"/>
          <w:highlight w:val="none"/>
        </w:rPr>
      </w:pPr>
      <w:bookmarkStart w:id="16" w:name="_Toc29003"/>
      <w:bookmarkStart w:id="17" w:name="_Toc21699"/>
      <w:r>
        <w:rPr>
          <w:rFonts w:hint="eastAsia" w:ascii="宋体" w:hAnsi="宋体" w:eastAsia="宋体"/>
          <w:color w:val="auto"/>
          <w:sz w:val="24"/>
          <w:szCs w:val="24"/>
          <w:highlight w:val="none"/>
        </w:rPr>
        <w:t>1.采购人信息</w:t>
      </w:r>
      <w:bookmarkEnd w:id="16"/>
      <w:bookmarkEnd w:id="17"/>
    </w:p>
    <w:p w14:paraId="71D4001B">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名称：义马市交通运输局 </w:t>
      </w:r>
    </w:p>
    <w:p w14:paraId="6C39AB83">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地址：</w:t>
      </w:r>
      <w:r>
        <w:rPr>
          <w:rFonts w:hint="eastAsia" w:ascii="宋体" w:hAnsi="宋体" w:eastAsia="宋体" w:cs="Times New Roman"/>
          <w:color w:val="auto"/>
          <w:sz w:val="24"/>
          <w:szCs w:val="24"/>
          <w:highlight w:val="none"/>
          <w:lang w:val="en-US" w:eastAsia="zh-CN"/>
        </w:rPr>
        <w:t>义马市客运中心后院</w:t>
      </w:r>
    </w:p>
    <w:p w14:paraId="0C894562">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rPr>
        <w:t>联系人（电话）：</w:t>
      </w:r>
      <w:r>
        <w:rPr>
          <w:rFonts w:hint="eastAsia" w:ascii="宋体" w:hAnsi="宋体" w:eastAsia="宋体" w:cs="Times New Roman"/>
          <w:color w:val="auto"/>
          <w:sz w:val="24"/>
          <w:szCs w:val="24"/>
          <w:highlight w:val="none"/>
          <w:lang w:val="en-US" w:eastAsia="zh-CN"/>
        </w:rPr>
        <w:t>寇</w:t>
      </w:r>
      <w:r>
        <w:rPr>
          <w:rFonts w:hint="eastAsia" w:ascii="宋体" w:hAnsi="宋体" w:eastAsia="宋体" w:cs="Times New Roman"/>
          <w:color w:val="auto"/>
          <w:sz w:val="24"/>
          <w:szCs w:val="24"/>
          <w:highlight w:val="none"/>
        </w:rPr>
        <w:t>先生</w:t>
      </w:r>
    </w:p>
    <w:p w14:paraId="345F8182">
      <w:pPr>
        <w:spacing w:line="360" w:lineRule="auto"/>
        <w:ind w:firstLine="480" w:firstLineChars="20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联系电话：0398-5587890</w:t>
      </w:r>
    </w:p>
    <w:p w14:paraId="32323E6A">
      <w:pPr>
        <w:spacing w:line="360" w:lineRule="auto"/>
        <w:ind w:firstLine="480" w:firstLineChars="200"/>
        <w:outlineLvl w:val="1"/>
        <w:rPr>
          <w:rFonts w:hint="eastAsia" w:ascii="宋体" w:hAnsi="宋体" w:eastAsia="宋体"/>
          <w:color w:val="auto"/>
          <w:sz w:val="24"/>
          <w:szCs w:val="24"/>
          <w:highlight w:val="none"/>
        </w:rPr>
      </w:pPr>
      <w:bookmarkStart w:id="18" w:name="_Toc12633"/>
      <w:bookmarkStart w:id="19" w:name="_Toc19774"/>
      <w:r>
        <w:rPr>
          <w:rFonts w:hint="eastAsia" w:ascii="宋体" w:hAnsi="宋体" w:eastAsia="宋体"/>
          <w:color w:val="auto"/>
          <w:sz w:val="24"/>
          <w:szCs w:val="24"/>
          <w:highlight w:val="none"/>
        </w:rPr>
        <w:t>2.采购代理机构信息</w:t>
      </w:r>
      <w:bookmarkEnd w:id="18"/>
      <w:bookmarkEnd w:id="19"/>
    </w:p>
    <w:p w14:paraId="276E8E69">
      <w:pPr>
        <w:keepNext w:val="0"/>
        <w:keepLines w:val="0"/>
        <w:pageBreakBefore w:val="0"/>
        <w:widowControl w:val="0"/>
        <w:kinsoku/>
        <w:wordWrap/>
        <w:overflowPunct/>
        <w:topLinePunct w:val="0"/>
        <w:autoSpaceDE/>
        <w:autoSpaceDN/>
        <w:bidi w:val="0"/>
        <w:adjustRightInd w:val="0"/>
        <w:snapToGrid/>
        <w:spacing w:after="0" w:line="500" w:lineRule="atLeast"/>
        <w:ind w:left="0" w:firstLine="480" w:firstLineChars="200"/>
        <w:jc w:val="both"/>
        <w:textAlignment w:val="baseline"/>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代理机构：崇璟工程管理咨询有限公司</w:t>
      </w:r>
    </w:p>
    <w:p w14:paraId="1C1476E1">
      <w:pPr>
        <w:keepNext w:val="0"/>
        <w:keepLines w:val="0"/>
        <w:pageBreakBefore w:val="0"/>
        <w:widowControl w:val="0"/>
        <w:kinsoku/>
        <w:wordWrap/>
        <w:overflowPunct/>
        <w:topLinePunct w:val="0"/>
        <w:autoSpaceDE/>
        <w:autoSpaceDN/>
        <w:bidi w:val="0"/>
        <w:adjustRightInd w:val="0"/>
        <w:snapToGrid/>
        <w:spacing w:after="0" w:line="500" w:lineRule="atLeast"/>
        <w:ind w:left="0" w:firstLine="480" w:firstLineChars="200"/>
        <w:jc w:val="both"/>
        <w:textAlignment w:val="baseline"/>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地址：</w:t>
      </w:r>
      <w:r>
        <w:rPr>
          <w:rFonts w:hint="eastAsia" w:ascii="宋体" w:hAnsi="宋体" w:eastAsia="宋体" w:cs="宋体"/>
          <w:color w:val="auto"/>
          <w:sz w:val="24"/>
          <w:szCs w:val="24"/>
          <w:highlight w:val="none"/>
        </w:rPr>
        <w:t>河南省郑州市金水区鸿苑路61号院东区</w:t>
      </w:r>
    </w:p>
    <w:p w14:paraId="4D9A59A4">
      <w:pPr>
        <w:keepNext w:val="0"/>
        <w:keepLines w:val="0"/>
        <w:pageBreakBefore w:val="0"/>
        <w:widowControl w:val="0"/>
        <w:kinsoku/>
        <w:wordWrap/>
        <w:overflowPunct/>
        <w:topLinePunct w:val="0"/>
        <w:autoSpaceDE/>
        <w:autoSpaceDN/>
        <w:bidi w:val="0"/>
        <w:adjustRightInd w:val="0"/>
        <w:snapToGrid/>
        <w:spacing w:after="0" w:line="500" w:lineRule="atLeast"/>
        <w:ind w:left="0" w:firstLine="480" w:firstLineChars="200"/>
        <w:jc w:val="both"/>
        <w:textAlignment w:val="baseline"/>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联系人：张先生</w:t>
      </w:r>
    </w:p>
    <w:p w14:paraId="1C6A1E7B">
      <w:pPr>
        <w:keepNext w:val="0"/>
        <w:keepLines w:val="0"/>
        <w:pageBreakBefore w:val="0"/>
        <w:widowControl w:val="0"/>
        <w:kinsoku/>
        <w:wordWrap/>
        <w:overflowPunct/>
        <w:topLinePunct w:val="0"/>
        <w:autoSpaceDE/>
        <w:autoSpaceDN/>
        <w:bidi w:val="0"/>
        <w:adjustRightInd w:val="0"/>
        <w:snapToGrid/>
        <w:spacing w:after="0" w:line="500" w:lineRule="atLeast"/>
        <w:ind w:left="0" w:firstLine="480" w:firstLineChars="200"/>
        <w:jc w:val="both"/>
        <w:textAlignment w:val="baseline"/>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联系电话：18603986110</w:t>
      </w:r>
    </w:p>
    <w:p w14:paraId="02E2086F">
      <w:pPr>
        <w:spacing w:line="360" w:lineRule="auto"/>
        <w:ind w:firstLine="480" w:firstLineChars="200"/>
        <w:outlineLvl w:val="1"/>
        <w:rPr>
          <w:rFonts w:hint="eastAsia" w:ascii="宋体" w:hAnsi="宋体" w:eastAsia="宋体"/>
          <w:color w:val="auto"/>
          <w:sz w:val="24"/>
          <w:szCs w:val="24"/>
          <w:highlight w:val="none"/>
        </w:rPr>
      </w:pPr>
      <w:bookmarkStart w:id="20" w:name="_Toc22691"/>
      <w:bookmarkStart w:id="21" w:name="_Toc2293"/>
      <w:r>
        <w:rPr>
          <w:rFonts w:hint="eastAsia" w:ascii="宋体" w:hAnsi="宋体" w:eastAsia="宋体"/>
          <w:color w:val="auto"/>
          <w:sz w:val="24"/>
          <w:szCs w:val="24"/>
          <w:highlight w:val="none"/>
        </w:rPr>
        <w:t>3.监督单位信息</w:t>
      </w:r>
      <w:bookmarkEnd w:id="20"/>
      <w:bookmarkEnd w:id="21"/>
    </w:p>
    <w:p w14:paraId="4C97D57D">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监督单位：义马市财政局政府采购监督管理科</w:t>
      </w:r>
    </w:p>
    <w:p w14:paraId="49DCA104">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电话：0398-5832143</w:t>
      </w:r>
    </w:p>
    <w:p w14:paraId="0821BCE0">
      <w:pPr>
        <w:jc w:val="center"/>
        <w:rPr>
          <w:rFonts w:hint="eastAsia" w:ascii="宋体" w:hAnsi="宋体" w:cs="宋体"/>
          <w:b/>
          <w:bCs/>
          <w:color w:val="auto"/>
          <w:sz w:val="36"/>
          <w:szCs w:val="36"/>
          <w:highlight w:val="none"/>
        </w:rPr>
      </w:pPr>
    </w:p>
    <w:p w14:paraId="1AB89D95">
      <w:pPr>
        <w:jc w:val="center"/>
        <w:rPr>
          <w:rFonts w:hint="eastAsia" w:ascii="宋体" w:hAnsi="宋体" w:cs="宋体"/>
          <w:b/>
          <w:bCs/>
          <w:color w:val="auto"/>
          <w:sz w:val="36"/>
          <w:szCs w:val="36"/>
          <w:highlight w:val="none"/>
        </w:rPr>
      </w:pPr>
    </w:p>
    <w:p w14:paraId="6BB52202">
      <w:pPr>
        <w:jc w:val="center"/>
        <w:rPr>
          <w:rFonts w:hint="eastAsia" w:ascii="宋体" w:hAnsi="宋体" w:cs="宋体"/>
          <w:b/>
          <w:bCs/>
          <w:color w:val="auto"/>
          <w:sz w:val="36"/>
          <w:szCs w:val="36"/>
          <w:highlight w:val="none"/>
        </w:rPr>
      </w:pPr>
    </w:p>
    <w:p w14:paraId="5D5B58A8">
      <w:pPr>
        <w:jc w:val="center"/>
        <w:rPr>
          <w:rFonts w:hint="eastAsia" w:ascii="宋体" w:hAnsi="宋体" w:cs="宋体"/>
          <w:b/>
          <w:bCs/>
          <w:color w:val="auto"/>
          <w:sz w:val="36"/>
          <w:szCs w:val="36"/>
          <w:highlight w:val="none"/>
        </w:rPr>
      </w:pPr>
    </w:p>
    <w:p w14:paraId="1F34F37F">
      <w:pPr>
        <w:jc w:val="center"/>
        <w:outlineLvl w:val="0"/>
        <w:rPr>
          <w:rFonts w:ascii="宋体" w:cs="宋体"/>
          <w:b/>
          <w:bCs/>
          <w:color w:val="auto"/>
          <w:sz w:val="36"/>
          <w:szCs w:val="36"/>
          <w:highlight w:val="none"/>
        </w:rPr>
      </w:pPr>
      <w:bookmarkStart w:id="22" w:name="_Toc28856"/>
      <w:r>
        <w:rPr>
          <w:rFonts w:hint="eastAsia" w:ascii="宋体" w:hAnsi="宋体" w:cs="宋体"/>
          <w:b/>
          <w:bCs/>
          <w:color w:val="auto"/>
          <w:sz w:val="36"/>
          <w:szCs w:val="36"/>
          <w:highlight w:val="none"/>
        </w:rPr>
        <w:t>第二章</w:t>
      </w:r>
      <w:r>
        <w:rPr>
          <w:rFonts w:ascii="宋体" w:hAnsi="宋体" w:cs="宋体"/>
          <w:b/>
          <w:bCs/>
          <w:color w:val="auto"/>
          <w:sz w:val="36"/>
          <w:szCs w:val="36"/>
          <w:highlight w:val="none"/>
        </w:rPr>
        <w:t xml:space="preserve"> </w:t>
      </w:r>
      <w:r>
        <w:rPr>
          <w:rFonts w:hint="eastAsia" w:ascii="宋体" w:hAnsi="宋体" w:cs="宋体"/>
          <w:b/>
          <w:bCs/>
          <w:color w:val="auto"/>
          <w:sz w:val="36"/>
          <w:szCs w:val="36"/>
          <w:highlight w:val="none"/>
          <w:lang w:val="en-US" w:eastAsia="zh-CN"/>
        </w:rPr>
        <w:t xml:space="preserve"> </w:t>
      </w:r>
      <w:r>
        <w:rPr>
          <w:rFonts w:hint="eastAsia" w:ascii="宋体" w:hAnsi="宋体" w:cs="宋体"/>
          <w:b/>
          <w:bCs/>
          <w:color w:val="auto"/>
          <w:sz w:val="36"/>
          <w:szCs w:val="36"/>
          <w:highlight w:val="none"/>
        </w:rPr>
        <w:t>供应商须知</w:t>
      </w:r>
      <w:bookmarkEnd w:id="22"/>
    </w:p>
    <w:p w14:paraId="2774D9FB">
      <w:pPr>
        <w:shd w:val="clear" w:color="auto" w:fill="FFFFFF"/>
        <w:snapToGrid w:val="0"/>
        <w:spacing w:line="360" w:lineRule="auto"/>
        <w:ind w:right="105" w:rightChars="50"/>
        <w:rPr>
          <w:rFonts w:ascii="宋体"/>
          <w:color w:val="auto"/>
          <w:sz w:val="24"/>
          <w:szCs w:val="24"/>
          <w:highlight w:val="none"/>
        </w:rPr>
      </w:pPr>
      <w:r>
        <w:rPr>
          <w:rFonts w:hint="eastAsia" w:ascii="宋体" w:hAnsi="宋体" w:cs="宋体"/>
          <w:b/>
          <w:bCs/>
          <w:color w:val="auto"/>
          <w:sz w:val="24"/>
          <w:szCs w:val="24"/>
          <w:highlight w:val="none"/>
        </w:rPr>
        <w:t>供应商须知前附表</w:t>
      </w:r>
    </w:p>
    <w:tbl>
      <w:tblPr>
        <w:tblStyle w:val="18"/>
        <w:tblW w:w="9801" w:type="dxa"/>
        <w:jc w:val="center"/>
        <w:tblLayout w:type="fixed"/>
        <w:tblCellMar>
          <w:top w:w="0" w:type="dxa"/>
          <w:left w:w="0" w:type="dxa"/>
          <w:bottom w:w="0" w:type="dxa"/>
          <w:right w:w="0" w:type="dxa"/>
        </w:tblCellMar>
      </w:tblPr>
      <w:tblGrid>
        <w:gridCol w:w="1144"/>
        <w:gridCol w:w="2055"/>
        <w:gridCol w:w="6602"/>
      </w:tblGrid>
      <w:tr w14:paraId="1613782A">
        <w:tblPrEx>
          <w:tblCellMar>
            <w:top w:w="0" w:type="dxa"/>
            <w:left w:w="0" w:type="dxa"/>
            <w:bottom w:w="0" w:type="dxa"/>
            <w:right w:w="0" w:type="dxa"/>
          </w:tblCellMar>
        </w:tblPrEx>
        <w:trPr>
          <w:trHeight w:val="459"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3BDF9E01">
            <w:pPr>
              <w:spacing w:line="360" w:lineRule="auto"/>
              <w:ind w:right="105" w:rightChars="50"/>
              <w:jc w:val="center"/>
              <w:rPr>
                <w:rFonts w:ascii="宋体"/>
                <w:color w:val="auto"/>
                <w:sz w:val="24"/>
                <w:szCs w:val="24"/>
                <w:highlight w:val="none"/>
              </w:rPr>
            </w:pPr>
            <w:r>
              <w:rPr>
                <w:rFonts w:hint="eastAsia" w:ascii="宋体" w:hAnsi="宋体" w:cs="宋体"/>
                <w:color w:val="auto"/>
                <w:sz w:val="24"/>
                <w:szCs w:val="24"/>
                <w:highlight w:val="none"/>
              </w:rPr>
              <w:t>条款号</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01DFA834">
            <w:pPr>
              <w:spacing w:line="360" w:lineRule="auto"/>
              <w:ind w:right="105" w:rightChars="50"/>
              <w:jc w:val="center"/>
              <w:rPr>
                <w:rFonts w:ascii="宋体"/>
                <w:color w:val="auto"/>
                <w:sz w:val="24"/>
                <w:szCs w:val="24"/>
                <w:highlight w:val="none"/>
              </w:rPr>
            </w:pPr>
            <w:r>
              <w:rPr>
                <w:rFonts w:hint="eastAsia" w:ascii="宋体" w:hAnsi="宋体" w:cs="宋体"/>
                <w:color w:val="auto"/>
                <w:sz w:val="24"/>
                <w:szCs w:val="24"/>
                <w:highlight w:val="none"/>
              </w:rPr>
              <w:t>条款名称</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57BA9B55">
            <w:pPr>
              <w:spacing w:line="360" w:lineRule="auto"/>
              <w:ind w:right="105" w:rightChars="50"/>
              <w:jc w:val="center"/>
              <w:rPr>
                <w:rFonts w:ascii="宋体"/>
                <w:color w:val="auto"/>
                <w:sz w:val="24"/>
                <w:szCs w:val="24"/>
                <w:highlight w:val="none"/>
              </w:rPr>
            </w:pPr>
            <w:r>
              <w:rPr>
                <w:rFonts w:hint="eastAsia" w:ascii="宋体" w:hAnsi="宋体" w:cs="宋体"/>
                <w:color w:val="auto"/>
                <w:sz w:val="24"/>
                <w:szCs w:val="24"/>
                <w:highlight w:val="none"/>
              </w:rPr>
              <w:t>编列内容</w:t>
            </w:r>
          </w:p>
        </w:tc>
      </w:tr>
      <w:tr w14:paraId="40F7EC99">
        <w:tblPrEx>
          <w:tblCellMar>
            <w:top w:w="0" w:type="dxa"/>
            <w:left w:w="0" w:type="dxa"/>
            <w:bottom w:w="0" w:type="dxa"/>
            <w:right w:w="0" w:type="dxa"/>
          </w:tblCellMar>
        </w:tblPrEx>
        <w:trPr>
          <w:trHeight w:val="1505" w:hRule="atLeast"/>
          <w:jc w:val="center"/>
        </w:trPr>
        <w:tc>
          <w:tcPr>
            <w:tcW w:w="1144" w:type="dxa"/>
            <w:vMerge w:val="restart"/>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47ADD62F">
            <w:pPr>
              <w:spacing w:line="360" w:lineRule="auto"/>
              <w:ind w:right="105" w:rightChars="50"/>
              <w:jc w:val="center"/>
              <w:rPr>
                <w:rFonts w:ascii="宋体"/>
                <w:color w:val="auto"/>
                <w:sz w:val="24"/>
                <w:szCs w:val="24"/>
                <w:highlight w:val="none"/>
              </w:rPr>
            </w:pPr>
            <w:r>
              <w:rPr>
                <w:rFonts w:ascii="宋体" w:hAnsi="宋体" w:cs="宋体"/>
                <w:color w:val="auto"/>
                <w:sz w:val="24"/>
                <w:szCs w:val="24"/>
                <w:highlight w:val="none"/>
              </w:rPr>
              <w:t>1.1</w:t>
            </w:r>
          </w:p>
        </w:tc>
        <w:tc>
          <w:tcPr>
            <w:tcW w:w="2055" w:type="dxa"/>
            <w:vMerge w:val="restart"/>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4EF134F2">
            <w:pPr>
              <w:spacing w:line="360" w:lineRule="auto"/>
              <w:ind w:right="105" w:rightChars="50"/>
              <w:jc w:val="center"/>
              <w:rPr>
                <w:rFonts w:ascii="宋体"/>
                <w:color w:val="auto"/>
                <w:sz w:val="24"/>
                <w:szCs w:val="24"/>
                <w:highlight w:val="none"/>
              </w:rPr>
            </w:pPr>
            <w:r>
              <w:rPr>
                <w:rFonts w:hint="eastAsia" w:ascii="宋体" w:hAnsi="宋体" w:cs="宋体"/>
                <w:color w:val="auto"/>
                <w:sz w:val="24"/>
                <w:szCs w:val="24"/>
                <w:highlight w:val="none"/>
              </w:rPr>
              <w:t>采购人</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142CA00E">
            <w:pPr>
              <w:spacing w:line="360" w:lineRule="auto"/>
              <w:rPr>
                <w:rFonts w:hint="default" w:ascii="宋体" w:hAnsi="宋体" w:eastAsia="宋体"/>
                <w:color w:val="auto"/>
                <w:sz w:val="24"/>
                <w:szCs w:val="24"/>
                <w:highlight w:val="none"/>
                <w:lang w:val="en-US" w:eastAsia="zh-CN"/>
              </w:rPr>
            </w:pPr>
            <w:r>
              <w:rPr>
                <w:rFonts w:hint="default" w:ascii="宋体" w:hAnsi="宋体" w:eastAsia="宋体"/>
                <w:color w:val="auto"/>
                <w:sz w:val="24"/>
                <w:szCs w:val="24"/>
                <w:highlight w:val="none"/>
                <w:lang w:val="en-US" w:eastAsia="zh-CN"/>
              </w:rPr>
              <w:t xml:space="preserve">名称：义马市交通运输局 </w:t>
            </w:r>
          </w:p>
          <w:p w14:paraId="46325BFC">
            <w:pPr>
              <w:spacing w:line="360" w:lineRule="auto"/>
              <w:rPr>
                <w:rFonts w:hint="default" w:ascii="宋体" w:hAnsi="宋体" w:eastAsia="宋体"/>
                <w:color w:val="auto"/>
                <w:sz w:val="24"/>
                <w:szCs w:val="24"/>
                <w:highlight w:val="none"/>
                <w:lang w:val="en-US" w:eastAsia="zh-CN"/>
              </w:rPr>
            </w:pPr>
            <w:r>
              <w:rPr>
                <w:rFonts w:hint="default" w:ascii="宋体" w:hAnsi="宋体" w:eastAsia="宋体"/>
                <w:color w:val="auto"/>
                <w:sz w:val="24"/>
                <w:szCs w:val="24"/>
                <w:highlight w:val="none"/>
                <w:lang w:val="en-US" w:eastAsia="zh-CN"/>
              </w:rPr>
              <w:t>地址：义马市客运中心后院</w:t>
            </w:r>
          </w:p>
          <w:p w14:paraId="6DCD2062">
            <w:pPr>
              <w:spacing w:line="360" w:lineRule="auto"/>
              <w:rPr>
                <w:rFonts w:hint="default" w:ascii="宋体" w:hAnsi="宋体" w:eastAsia="宋体"/>
                <w:color w:val="auto"/>
                <w:sz w:val="24"/>
                <w:szCs w:val="24"/>
                <w:highlight w:val="none"/>
                <w:lang w:val="en-US" w:eastAsia="zh-CN"/>
              </w:rPr>
            </w:pPr>
            <w:r>
              <w:rPr>
                <w:rFonts w:hint="default" w:ascii="宋体" w:hAnsi="宋体" w:eastAsia="宋体"/>
                <w:color w:val="auto"/>
                <w:sz w:val="24"/>
                <w:szCs w:val="24"/>
                <w:highlight w:val="none"/>
                <w:lang w:val="en-US" w:eastAsia="zh-CN"/>
              </w:rPr>
              <w:t>联系人（电话）：寇先生</w:t>
            </w:r>
          </w:p>
          <w:p w14:paraId="089E90CA">
            <w:pPr>
              <w:spacing w:line="360" w:lineRule="auto"/>
              <w:rPr>
                <w:rFonts w:hint="default" w:ascii="宋体" w:hAnsi="宋体" w:eastAsia="宋体"/>
                <w:color w:val="auto"/>
                <w:sz w:val="24"/>
                <w:szCs w:val="24"/>
                <w:highlight w:val="none"/>
                <w:lang w:val="en-US" w:eastAsia="zh-CN"/>
              </w:rPr>
            </w:pPr>
            <w:r>
              <w:rPr>
                <w:rFonts w:hint="default" w:ascii="宋体" w:hAnsi="宋体" w:eastAsia="宋体"/>
                <w:color w:val="auto"/>
                <w:sz w:val="24"/>
                <w:szCs w:val="24"/>
                <w:highlight w:val="none"/>
                <w:lang w:val="en-US" w:eastAsia="zh-CN"/>
              </w:rPr>
              <w:t>联系电话：0398-5587890</w:t>
            </w:r>
          </w:p>
        </w:tc>
      </w:tr>
      <w:tr w14:paraId="207394B5">
        <w:tblPrEx>
          <w:tblCellMar>
            <w:top w:w="0" w:type="dxa"/>
            <w:left w:w="0" w:type="dxa"/>
            <w:bottom w:w="0" w:type="dxa"/>
            <w:right w:w="0" w:type="dxa"/>
          </w:tblCellMar>
        </w:tblPrEx>
        <w:trPr>
          <w:trHeight w:val="1500"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065C98C9">
            <w:pPr>
              <w:spacing w:line="360" w:lineRule="auto"/>
              <w:ind w:right="105" w:rightChars="50"/>
              <w:jc w:val="center"/>
              <w:rPr>
                <w:rFonts w:ascii="宋体"/>
                <w:color w:val="auto"/>
                <w:sz w:val="24"/>
                <w:szCs w:val="24"/>
                <w:highlight w:val="none"/>
              </w:rPr>
            </w:pPr>
            <w:r>
              <w:rPr>
                <w:rFonts w:ascii="宋体" w:hAnsi="宋体" w:cs="宋体"/>
                <w:color w:val="auto"/>
                <w:sz w:val="24"/>
                <w:szCs w:val="24"/>
                <w:highlight w:val="none"/>
              </w:rPr>
              <w:t>1.2</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1E59CB64">
            <w:pPr>
              <w:spacing w:line="360" w:lineRule="auto"/>
              <w:ind w:right="105" w:rightChars="50"/>
              <w:jc w:val="center"/>
              <w:rPr>
                <w:rFonts w:ascii="宋体"/>
                <w:color w:val="auto"/>
                <w:sz w:val="24"/>
                <w:szCs w:val="24"/>
                <w:highlight w:val="none"/>
              </w:rPr>
            </w:pPr>
            <w:r>
              <w:rPr>
                <w:rFonts w:hint="eastAsia" w:ascii="宋体" w:hAnsi="宋体" w:cs="宋体"/>
                <w:color w:val="auto"/>
                <w:sz w:val="24"/>
                <w:szCs w:val="24"/>
                <w:highlight w:val="none"/>
              </w:rPr>
              <w:t>采购代理机构</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50358542">
            <w:pPr>
              <w:spacing w:line="360" w:lineRule="auto"/>
              <w:ind w:right="105" w:rightChars="50"/>
              <w:rPr>
                <w:rFonts w:hint="default" w:ascii="宋体"/>
                <w:color w:val="auto"/>
                <w:sz w:val="24"/>
                <w:szCs w:val="24"/>
                <w:highlight w:val="none"/>
                <w:lang w:val="en-US" w:eastAsia="zh-CN"/>
              </w:rPr>
            </w:pPr>
            <w:r>
              <w:rPr>
                <w:rFonts w:hint="default" w:ascii="宋体"/>
                <w:color w:val="auto"/>
                <w:sz w:val="24"/>
                <w:szCs w:val="24"/>
                <w:highlight w:val="none"/>
                <w:lang w:val="en-US" w:eastAsia="zh-CN"/>
              </w:rPr>
              <w:t>代理机构：崇璟工程管理咨询有限公司</w:t>
            </w:r>
          </w:p>
          <w:p w14:paraId="60E15805">
            <w:pPr>
              <w:spacing w:line="360" w:lineRule="auto"/>
              <w:ind w:right="105" w:rightChars="50"/>
              <w:rPr>
                <w:rFonts w:hint="default" w:ascii="宋体"/>
                <w:color w:val="auto"/>
                <w:sz w:val="24"/>
                <w:szCs w:val="24"/>
                <w:highlight w:val="none"/>
                <w:lang w:val="en-US" w:eastAsia="zh-CN"/>
              </w:rPr>
            </w:pPr>
            <w:r>
              <w:rPr>
                <w:rFonts w:hint="default" w:ascii="宋体"/>
                <w:color w:val="auto"/>
                <w:sz w:val="24"/>
                <w:szCs w:val="24"/>
                <w:highlight w:val="none"/>
                <w:lang w:val="en-US" w:eastAsia="zh-CN"/>
              </w:rPr>
              <w:t>地址：</w:t>
            </w:r>
            <w:r>
              <w:rPr>
                <w:rFonts w:hint="default" w:ascii="宋体"/>
                <w:color w:val="auto"/>
                <w:sz w:val="24"/>
                <w:szCs w:val="24"/>
                <w:highlight w:val="none"/>
                <w:lang w:val="en-US"/>
              </w:rPr>
              <w:t>河南省郑州市金水区鸿苑路61号院东区</w:t>
            </w:r>
          </w:p>
          <w:p w14:paraId="69D67BC8">
            <w:pPr>
              <w:spacing w:line="360" w:lineRule="auto"/>
              <w:ind w:right="105" w:rightChars="50"/>
              <w:rPr>
                <w:rFonts w:hint="default" w:ascii="宋体"/>
                <w:color w:val="auto"/>
                <w:sz w:val="24"/>
                <w:szCs w:val="24"/>
                <w:highlight w:val="none"/>
                <w:lang w:val="en-US" w:eastAsia="zh-CN"/>
              </w:rPr>
            </w:pPr>
            <w:r>
              <w:rPr>
                <w:rFonts w:hint="default" w:ascii="宋体"/>
                <w:color w:val="auto"/>
                <w:sz w:val="24"/>
                <w:szCs w:val="24"/>
                <w:highlight w:val="none"/>
                <w:lang w:val="en-US" w:eastAsia="zh-CN"/>
              </w:rPr>
              <w:t>联系人：张先生</w:t>
            </w:r>
          </w:p>
          <w:p w14:paraId="69559460">
            <w:pPr>
              <w:spacing w:line="360" w:lineRule="auto"/>
              <w:ind w:right="105" w:rightChars="50"/>
              <w:rPr>
                <w:rFonts w:hint="default" w:ascii="宋体"/>
                <w:color w:val="auto"/>
                <w:sz w:val="24"/>
                <w:szCs w:val="24"/>
                <w:highlight w:val="none"/>
                <w:lang w:val="en-US"/>
              </w:rPr>
            </w:pPr>
            <w:r>
              <w:rPr>
                <w:rFonts w:hint="default" w:ascii="宋体"/>
                <w:color w:val="auto"/>
                <w:sz w:val="24"/>
                <w:szCs w:val="24"/>
                <w:highlight w:val="none"/>
                <w:lang w:val="en-US" w:eastAsia="zh-CN"/>
              </w:rPr>
              <w:t>联系电话：18603986110</w:t>
            </w:r>
          </w:p>
        </w:tc>
      </w:tr>
      <w:tr w14:paraId="6836340D">
        <w:tblPrEx>
          <w:tblCellMar>
            <w:top w:w="0" w:type="dxa"/>
            <w:left w:w="0" w:type="dxa"/>
            <w:bottom w:w="0" w:type="dxa"/>
            <w:right w:w="0" w:type="dxa"/>
          </w:tblCellMar>
        </w:tblPrEx>
        <w:trPr>
          <w:trHeight w:val="542"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0ACDB7C1">
            <w:pPr>
              <w:spacing w:line="360" w:lineRule="auto"/>
              <w:ind w:right="105" w:rightChars="50"/>
              <w:jc w:val="center"/>
              <w:rPr>
                <w:rFonts w:ascii="宋体"/>
                <w:color w:val="auto"/>
                <w:sz w:val="24"/>
                <w:szCs w:val="24"/>
                <w:highlight w:val="none"/>
              </w:rPr>
            </w:pPr>
            <w:r>
              <w:rPr>
                <w:rFonts w:ascii="宋体" w:hAnsi="宋体" w:cs="宋体"/>
                <w:color w:val="auto"/>
                <w:sz w:val="24"/>
                <w:szCs w:val="24"/>
                <w:highlight w:val="none"/>
              </w:rPr>
              <w:t>1.3</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1EE11360">
            <w:pPr>
              <w:jc w:val="center"/>
              <w:rPr>
                <w:color w:val="auto"/>
                <w:sz w:val="24"/>
                <w:szCs w:val="24"/>
                <w:highlight w:val="none"/>
              </w:rPr>
            </w:pPr>
            <w:r>
              <w:rPr>
                <w:rFonts w:hint="eastAsia" w:cs="宋体"/>
                <w:color w:val="auto"/>
                <w:sz w:val="24"/>
                <w:szCs w:val="24"/>
                <w:highlight w:val="none"/>
              </w:rPr>
              <w:t>项目名称</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52901710">
            <w:pPr>
              <w:spacing w:line="360" w:lineRule="auto"/>
              <w:rPr>
                <w:rFonts w:hint="eastAsia" w:ascii="宋体" w:eastAsia="宋体"/>
                <w:color w:val="auto"/>
                <w:sz w:val="24"/>
                <w:szCs w:val="24"/>
                <w:highlight w:val="none"/>
                <w:lang w:eastAsia="zh-CN"/>
              </w:rPr>
            </w:pPr>
            <w:r>
              <w:rPr>
                <w:rFonts w:hint="eastAsia" w:ascii="宋体" w:hAnsi="宋体" w:cs="Times New Roman"/>
                <w:color w:val="auto"/>
                <w:sz w:val="24"/>
                <w:szCs w:val="24"/>
                <w:highlight w:val="none"/>
                <w:lang w:eastAsia="zh-CN"/>
              </w:rPr>
              <w:t>义马市交通运输局（原G310义渑东交界处）双向不停车智能检测项目</w:t>
            </w:r>
          </w:p>
        </w:tc>
      </w:tr>
      <w:tr w14:paraId="22E0026A">
        <w:tblPrEx>
          <w:tblCellMar>
            <w:top w:w="0" w:type="dxa"/>
            <w:left w:w="0" w:type="dxa"/>
            <w:bottom w:w="0" w:type="dxa"/>
            <w:right w:w="0" w:type="dxa"/>
          </w:tblCellMar>
        </w:tblPrEx>
        <w:trPr>
          <w:trHeight w:val="536"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108F2E2C">
            <w:pPr>
              <w:spacing w:line="360" w:lineRule="auto"/>
              <w:ind w:right="105" w:rightChars="50"/>
              <w:jc w:val="center"/>
              <w:rPr>
                <w:rFonts w:ascii="宋体"/>
                <w:color w:val="auto"/>
                <w:sz w:val="24"/>
                <w:szCs w:val="24"/>
                <w:highlight w:val="none"/>
              </w:rPr>
            </w:pPr>
            <w:r>
              <w:rPr>
                <w:rFonts w:ascii="宋体" w:hAnsi="宋体" w:cs="宋体"/>
                <w:color w:val="auto"/>
                <w:sz w:val="24"/>
                <w:szCs w:val="24"/>
                <w:highlight w:val="none"/>
              </w:rPr>
              <w:t>1.4</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2C1965B3">
            <w:pPr>
              <w:spacing w:line="360" w:lineRule="auto"/>
              <w:ind w:right="105" w:rightChars="50"/>
              <w:jc w:val="center"/>
              <w:rPr>
                <w:rFonts w:ascii="宋体"/>
                <w:color w:val="auto"/>
                <w:kern w:val="2"/>
                <w:sz w:val="24"/>
                <w:szCs w:val="24"/>
                <w:highlight w:val="none"/>
                <w:lang w:val="en-US" w:eastAsia="zh-CN" w:bidi="ar-SA"/>
              </w:rPr>
            </w:pPr>
            <w:r>
              <w:rPr>
                <w:rFonts w:hint="eastAsia" w:ascii="宋体" w:hAnsi="宋体" w:cs="宋体"/>
                <w:color w:val="auto"/>
                <w:sz w:val="24"/>
                <w:szCs w:val="24"/>
                <w:highlight w:val="none"/>
              </w:rPr>
              <w:t>资金落实情况</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47906081">
            <w:pPr>
              <w:spacing w:line="360" w:lineRule="auto"/>
              <w:ind w:right="105" w:rightChars="50"/>
              <w:rPr>
                <w:rFonts w:hint="default" w:ascii="宋体"/>
                <w:color w:val="auto"/>
                <w:kern w:val="2"/>
                <w:sz w:val="24"/>
                <w:szCs w:val="24"/>
                <w:highlight w:val="none"/>
                <w:lang w:val="en-US" w:eastAsia="zh-CN" w:bidi="ar-SA"/>
              </w:rPr>
            </w:pPr>
            <w:r>
              <w:rPr>
                <w:rFonts w:hint="eastAsia" w:ascii="宋体" w:hAnsi="宋体" w:cs="宋体"/>
                <w:color w:val="auto"/>
                <w:sz w:val="24"/>
                <w:szCs w:val="24"/>
                <w:highlight w:val="none"/>
              </w:rPr>
              <w:t>财政资金，已落实</w:t>
            </w:r>
          </w:p>
        </w:tc>
      </w:tr>
      <w:tr w14:paraId="02832072">
        <w:tblPrEx>
          <w:tblCellMar>
            <w:top w:w="0" w:type="dxa"/>
            <w:left w:w="0" w:type="dxa"/>
            <w:bottom w:w="0" w:type="dxa"/>
            <w:right w:w="0" w:type="dxa"/>
          </w:tblCellMar>
        </w:tblPrEx>
        <w:trPr>
          <w:trHeight w:val="527"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0FCCE0B4">
            <w:pPr>
              <w:spacing w:line="360" w:lineRule="auto"/>
              <w:ind w:right="105" w:rightChars="50"/>
              <w:jc w:val="center"/>
              <w:rPr>
                <w:rFonts w:ascii="宋体"/>
                <w:color w:val="auto"/>
                <w:sz w:val="24"/>
                <w:szCs w:val="24"/>
                <w:highlight w:val="none"/>
              </w:rPr>
            </w:pPr>
            <w:r>
              <w:rPr>
                <w:rFonts w:ascii="宋体" w:hAnsi="宋体" w:cs="宋体"/>
                <w:color w:val="auto"/>
                <w:sz w:val="24"/>
                <w:szCs w:val="24"/>
                <w:highlight w:val="none"/>
              </w:rPr>
              <w:t>1.5</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6D9F2482">
            <w:pPr>
              <w:spacing w:line="480" w:lineRule="auto"/>
              <w:jc w:val="center"/>
              <w:rPr>
                <w:rFonts w:hint="default" w:ascii="宋体" w:eastAsia="宋体"/>
                <w:color w:val="auto"/>
                <w:kern w:val="2"/>
                <w:sz w:val="28"/>
                <w:szCs w:val="28"/>
                <w:highlight w:val="none"/>
                <w:lang w:val="en-US" w:eastAsia="zh-CN" w:bidi="ar-SA"/>
              </w:rPr>
            </w:pPr>
            <w:r>
              <w:rPr>
                <w:rFonts w:hint="eastAsia" w:ascii="宋体" w:hAnsi="宋体" w:cs="宋体"/>
                <w:color w:val="auto"/>
                <w:sz w:val="24"/>
                <w:szCs w:val="24"/>
                <w:highlight w:val="none"/>
                <w:lang w:val="en-US" w:eastAsia="zh-CN"/>
              </w:rPr>
              <w:t>采购内容</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69A71C83">
            <w:pPr>
              <w:spacing w:line="360" w:lineRule="auto"/>
              <w:rPr>
                <w:rFonts w:ascii="宋体" w:hAnsi="宋体"/>
                <w:color w:val="auto"/>
                <w:kern w:val="2"/>
                <w:sz w:val="24"/>
                <w:szCs w:val="24"/>
                <w:highlight w:val="none"/>
                <w:lang w:val="en-US" w:eastAsia="zh-CN" w:bidi="ar-SA"/>
              </w:rPr>
            </w:pPr>
            <w:r>
              <w:rPr>
                <w:rFonts w:hint="eastAsia" w:ascii="宋体" w:hAnsi="宋体"/>
                <w:color w:val="auto"/>
                <w:kern w:val="2"/>
                <w:sz w:val="24"/>
                <w:szCs w:val="24"/>
                <w:highlight w:val="none"/>
                <w:lang w:val="en-US" w:eastAsia="zh-CN" w:bidi="ar-SA"/>
              </w:rPr>
              <w:t>本项目为义马市交通运输局（原G310义渑东交界处）双向不停车智能检测项目，主要采购内容：高速动态称重系统、车牌识别抓拍系统视频监控系统、信息发布系统等（具体要求详见招标文件）</w:t>
            </w:r>
          </w:p>
        </w:tc>
      </w:tr>
      <w:tr w14:paraId="049F9EC1">
        <w:tblPrEx>
          <w:tblCellMar>
            <w:top w:w="0" w:type="dxa"/>
            <w:left w:w="0" w:type="dxa"/>
            <w:bottom w:w="0" w:type="dxa"/>
            <w:right w:w="0" w:type="dxa"/>
          </w:tblCellMar>
        </w:tblPrEx>
        <w:trPr>
          <w:trHeight w:val="496"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6C8F49EB">
            <w:pPr>
              <w:spacing w:line="360" w:lineRule="auto"/>
              <w:ind w:right="105" w:rightChars="50"/>
              <w:jc w:val="center"/>
              <w:rPr>
                <w:rFonts w:ascii="宋体"/>
                <w:color w:val="auto"/>
                <w:sz w:val="24"/>
                <w:szCs w:val="24"/>
                <w:highlight w:val="none"/>
              </w:rPr>
            </w:pPr>
            <w:r>
              <w:rPr>
                <w:rFonts w:ascii="宋体" w:hAnsi="宋体" w:cs="宋体"/>
                <w:color w:val="auto"/>
                <w:sz w:val="24"/>
                <w:szCs w:val="24"/>
                <w:highlight w:val="none"/>
              </w:rPr>
              <w:t>1.</w:t>
            </w:r>
            <w:r>
              <w:rPr>
                <w:rFonts w:hint="eastAsia" w:ascii="宋体" w:hAnsi="宋体" w:cs="宋体"/>
                <w:color w:val="auto"/>
                <w:sz w:val="24"/>
                <w:szCs w:val="24"/>
                <w:highlight w:val="none"/>
              </w:rPr>
              <w:t>6</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47CB9BB5">
            <w:pPr>
              <w:spacing w:line="360" w:lineRule="auto"/>
              <w:ind w:right="105" w:rightChars="50"/>
              <w:jc w:val="center"/>
              <w:rPr>
                <w:rFonts w:hint="default" w:ascii="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交货期限</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21F7627B">
            <w:pPr>
              <w:spacing w:line="360" w:lineRule="auto"/>
              <w:ind w:right="105" w:rightChars="50"/>
              <w:rPr>
                <w:rFonts w:hint="default" w:ascii="宋体" w:eastAsia="宋体"/>
                <w:color w:val="auto"/>
                <w:kern w:val="2"/>
                <w:sz w:val="24"/>
                <w:szCs w:val="24"/>
                <w:highlight w:val="none"/>
                <w:lang w:val="en-US" w:eastAsia="zh-CN" w:bidi="ar-SA"/>
              </w:rPr>
            </w:pPr>
            <w:r>
              <w:rPr>
                <w:rFonts w:hint="eastAsia" w:ascii="宋体"/>
                <w:color w:val="auto"/>
                <w:sz w:val="24"/>
                <w:szCs w:val="24"/>
                <w:highlight w:val="none"/>
                <w:lang w:val="en-US" w:eastAsia="zh-CN"/>
              </w:rPr>
              <w:t xml:space="preserve">签订合同60日历天内完成供货、安装及调试完毕 </w:t>
            </w:r>
          </w:p>
        </w:tc>
      </w:tr>
      <w:tr w14:paraId="61C5D09E">
        <w:tblPrEx>
          <w:tblCellMar>
            <w:top w:w="0" w:type="dxa"/>
            <w:left w:w="0" w:type="dxa"/>
            <w:bottom w:w="0" w:type="dxa"/>
            <w:right w:w="0" w:type="dxa"/>
          </w:tblCellMar>
        </w:tblPrEx>
        <w:trPr>
          <w:trHeight w:val="588"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58E9BAAB">
            <w:pPr>
              <w:spacing w:line="360" w:lineRule="auto"/>
              <w:ind w:right="105" w:rightChars="50"/>
              <w:jc w:val="center"/>
              <w:rPr>
                <w:rFonts w:ascii="宋体"/>
                <w:color w:val="auto"/>
                <w:sz w:val="24"/>
                <w:szCs w:val="24"/>
                <w:highlight w:val="none"/>
              </w:rPr>
            </w:pPr>
            <w:r>
              <w:rPr>
                <w:rFonts w:ascii="宋体" w:hAnsi="宋体" w:cs="宋体"/>
                <w:color w:val="auto"/>
                <w:sz w:val="24"/>
                <w:szCs w:val="24"/>
                <w:highlight w:val="none"/>
              </w:rPr>
              <w:t>1.</w:t>
            </w:r>
            <w:r>
              <w:rPr>
                <w:rFonts w:hint="eastAsia" w:ascii="宋体" w:hAnsi="宋体" w:cs="宋体"/>
                <w:color w:val="auto"/>
                <w:sz w:val="24"/>
                <w:szCs w:val="24"/>
                <w:highlight w:val="none"/>
              </w:rPr>
              <w:t>7</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5CF2BEF7">
            <w:pPr>
              <w:spacing w:line="360" w:lineRule="auto"/>
              <w:ind w:right="105" w:rightChars="50"/>
              <w:jc w:val="center"/>
              <w:rPr>
                <w:rFonts w:hint="eastAsia" w:ascii="宋体" w:eastAsia="宋体"/>
                <w:color w:val="auto"/>
                <w:sz w:val="24"/>
                <w:szCs w:val="24"/>
                <w:highlight w:val="none"/>
                <w:lang w:val="en-US" w:eastAsia="zh-CN"/>
              </w:rPr>
            </w:pPr>
            <w:r>
              <w:rPr>
                <w:rFonts w:hint="eastAsia" w:ascii="宋体"/>
                <w:color w:val="auto"/>
                <w:sz w:val="24"/>
                <w:szCs w:val="24"/>
                <w:highlight w:val="none"/>
                <w:lang w:val="en-US" w:eastAsia="zh-CN"/>
              </w:rPr>
              <w:t>质保期</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7CBDA2D4">
            <w:pPr>
              <w:spacing w:line="360" w:lineRule="auto"/>
              <w:ind w:right="105" w:rightChars="50"/>
              <w:rPr>
                <w:rFonts w:hint="default" w:ascii="宋体" w:eastAsia="宋体"/>
                <w:color w:val="auto"/>
                <w:sz w:val="24"/>
                <w:szCs w:val="24"/>
                <w:highlight w:val="none"/>
                <w:lang w:val="en-US" w:eastAsia="zh-CN"/>
              </w:rPr>
            </w:pPr>
            <w:r>
              <w:rPr>
                <w:rFonts w:hint="eastAsia" w:ascii="宋体"/>
                <w:color w:val="auto"/>
                <w:sz w:val="24"/>
                <w:szCs w:val="24"/>
                <w:highlight w:val="none"/>
                <w:lang w:val="en-US" w:eastAsia="zh-CN"/>
              </w:rPr>
              <w:t>三年</w:t>
            </w:r>
          </w:p>
        </w:tc>
      </w:tr>
      <w:tr w14:paraId="1F99A443">
        <w:tblPrEx>
          <w:tblCellMar>
            <w:top w:w="0" w:type="dxa"/>
            <w:left w:w="0" w:type="dxa"/>
            <w:bottom w:w="0" w:type="dxa"/>
            <w:right w:w="0" w:type="dxa"/>
          </w:tblCellMar>
        </w:tblPrEx>
        <w:trPr>
          <w:trHeight w:val="588"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470F7667">
            <w:pPr>
              <w:spacing w:line="360" w:lineRule="auto"/>
              <w:ind w:right="105" w:rightChars="5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8</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0E3ACA24">
            <w:pPr>
              <w:spacing w:line="360" w:lineRule="auto"/>
              <w:ind w:right="105" w:rightChars="5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质量要求</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1ED605C5">
            <w:pPr>
              <w:spacing w:line="360" w:lineRule="auto"/>
              <w:ind w:right="105" w:rightChars="50"/>
              <w:rPr>
                <w:rFonts w:hint="eastAsia" w:ascii="宋体" w:eastAsia="宋体"/>
                <w:color w:val="auto"/>
                <w:sz w:val="24"/>
                <w:szCs w:val="24"/>
                <w:highlight w:val="none"/>
                <w:lang w:val="en-US" w:eastAsia="zh-CN"/>
              </w:rPr>
            </w:pPr>
            <w:r>
              <w:rPr>
                <w:rFonts w:hint="eastAsia" w:ascii="宋体"/>
                <w:color w:val="auto"/>
                <w:sz w:val="24"/>
                <w:szCs w:val="24"/>
                <w:highlight w:val="none"/>
                <w:lang w:val="en-US" w:eastAsia="zh-CN"/>
              </w:rPr>
              <w:t>合格</w:t>
            </w:r>
          </w:p>
        </w:tc>
      </w:tr>
      <w:tr w14:paraId="14C24EEA">
        <w:tblPrEx>
          <w:tblCellMar>
            <w:top w:w="0" w:type="dxa"/>
            <w:left w:w="0" w:type="dxa"/>
            <w:bottom w:w="0" w:type="dxa"/>
            <w:right w:w="0" w:type="dxa"/>
          </w:tblCellMar>
        </w:tblPrEx>
        <w:trPr>
          <w:trHeight w:val="588"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578EE52C">
            <w:pPr>
              <w:spacing w:line="360" w:lineRule="auto"/>
              <w:ind w:right="105" w:rightChars="5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1.9</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77278481">
            <w:pPr>
              <w:spacing w:line="360" w:lineRule="auto"/>
              <w:ind w:right="105" w:rightChars="5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交货地点</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4B68C03B">
            <w:pPr>
              <w:spacing w:line="360" w:lineRule="auto"/>
              <w:ind w:right="105" w:rightChars="50"/>
              <w:rPr>
                <w:rFonts w:hint="default" w:ascii="宋体"/>
                <w:color w:val="auto"/>
                <w:sz w:val="24"/>
                <w:szCs w:val="24"/>
                <w:highlight w:val="none"/>
                <w:lang w:val="en-US" w:eastAsia="zh-CN"/>
              </w:rPr>
            </w:pPr>
            <w:r>
              <w:rPr>
                <w:rFonts w:hint="eastAsia" w:ascii="宋体" w:hAnsi="宋体" w:cs="Times New Roman"/>
                <w:color w:val="auto"/>
                <w:sz w:val="24"/>
                <w:szCs w:val="24"/>
                <w:highlight w:val="none"/>
                <w:lang w:eastAsia="zh-CN"/>
              </w:rPr>
              <w:t>原G310义渑东交界处</w:t>
            </w:r>
          </w:p>
        </w:tc>
      </w:tr>
      <w:tr w14:paraId="33D6CFE5">
        <w:tblPrEx>
          <w:tblCellMar>
            <w:top w:w="0" w:type="dxa"/>
            <w:left w:w="0" w:type="dxa"/>
            <w:bottom w:w="0" w:type="dxa"/>
            <w:right w:w="0" w:type="dxa"/>
          </w:tblCellMar>
        </w:tblPrEx>
        <w:trPr>
          <w:trHeight w:val="567"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01687B2D">
            <w:pPr>
              <w:spacing w:line="360" w:lineRule="auto"/>
              <w:ind w:right="105" w:rightChars="50"/>
              <w:jc w:val="center"/>
              <w:rPr>
                <w:rFonts w:hint="default" w:ascii="宋体" w:eastAsia="宋体"/>
                <w:color w:val="auto"/>
                <w:sz w:val="24"/>
                <w:szCs w:val="24"/>
                <w:highlight w:val="none"/>
                <w:lang w:val="en-US" w:eastAsia="zh-CN"/>
              </w:rPr>
            </w:pPr>
            <w:r>
              <w:rPr>
                <w:rFonts w:hint="eastAsia" w:ascii="宋体" w:hAnsi="宋体" w:cs="宋体"/>
                <w:color w:val="auto"/>
                <w:sz w:val="24"/>
                <w:szCs w:val="24"/>
                <w:highlight w:val="none"/>
                <w:lang w:val="en-US" w:eastAsia="zh-CN"/>
              </w:rPr>
              <w:t>2.0</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6FDECAB2">
            <w:pPr>
              <w:spacing w:line="360" w:lineRule="auto"/>
              <w:ind w:right="105" w:rightChars="50"/>
              <w:jc w:val="center"/>
              <w:rPr>
                <w:rFonts w:ascii="宋体"/>
                <w:color w:val="auto"/>
                <w:sz w:val="24"/>
                <w:szCs w:val="24"/>
                <w:highlight w:val="none"/>
              </w:rPr>
            </w:pPr>
            <w:r>
              <w:rPr>
                <w:rFonts w:hint="eastAsia" w:ascii="宋体" w:hAnsi="宋体" w:cs="宋体"/>
                <w:color w:val="auto"/>
                <w:sz w:val="24"/>
                <w:szCs w:val="24"/>
                <w:highlight w:val="none"/>
              </w:rPr>
              <w:t>供应商的资质</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31DEEE32">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1、满足《中华人民共和国政府采购法》第二十二条规定</w:t>
            </w:r>
          </w:p>
          <w:p w14:paraId="66BCA6DE">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2、落实政府采购政策满足的资格要求：本项目非专门面向中小微企业采购项目，执行促进中小型企业发展政策（残疾人福利性企业、监狱企业视同小微企业）、优先采购节能环保产品等政府采购政策</w:t>
            </w:r>
          </w:p>
          <w:p w14:paraId="71BFA238">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3、本项目的特定资格要求</w:t>
            </w:r>
          </w:p>
          <w:p w14:paraId="124D8ED8">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（1）供应商须具有有效的营业执照；</w:t>
            </w:r>
          </w:p>
          <w:p w14:paraId="6342783D">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（2）供应商出具企业及法人代表无商业贿赂及无不正当竞争行为的承诺书；</w:t>
            </w:r>
          </w:p>
          <w:p w14:paraId="4657A7F5">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（3）提供供应商企业、法定代表人无行贿犯罪记录，在中国裁判文书网查询（提供网页查询截图）或供应商自行承诺；</w:t>
            </w:r>
          </w:p>
          <w:p w14:paraId="6E000C90">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lang w:val="en-US" w:eastAsia="zh-CN"/>
              </w:rPr>
              <w:t>4</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rPr>
              <w:t>未列入“中国执行信息公开网”http://zxgk.court.gov.cn/shixin网站的“失信被执行人”名单、“信用中国”www.creditchina.gov.cn网站的“重大税收违法失信主体”及“中国政府采购网”www.ccgp.gov.cn网站的“政府采购严重违法失信行为记录名单”；（提供“中国执行信息公开网”、“信用中国”和“中国政府采购网”网站的查询信息截图，加盖单位公章，截图需显示查询时间，查询时间：自公告发布之日起至投标截止时间前）；</w:t>
            </w:r>
          </w:p>
          <w:p w14:paraId="6672148E">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8"/>
                <w:highlight w:val="none"/>
                <w:lang w:val="en-US" w:eastAsia="zh-CN"/>
              </w:rPr>
            </w:pPr>
            <w:r>
              <w:rPr>
                <w:rFonts w:hint="eastAsia" w:ascii="宋体" w:hAnsi="宋体" w:eastAsia="宋体" w:cs="宋体"/>
                <w:color w:val="auto"/>
                <w:sz w:val="24"/>
                <w:szCs w:val="28"/>
                <w:highlight w:val="none"/>
                <w:lang w:val="en-US" w:eastAsia="zh-CN"/>
              </w:rPr>
              <w:t>（5）单位负责人为同一人或者存在直接控股、管理关系的不同投标人，不得参加同一合同项下的采购活动；（提供“国家企业信用信息公示系统”中查询打印的相关信息并加盖公章（查询信息需包含公司基本信息、股东信息及股权变更信息等相关信息，查询日期为本项目公告发布之后至开标截止时间止））</w:t>
            </w:r>
          </w:p>
          <w:p w14:paraId="36B56191">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6</w:t>
            </w:r>
            <w:r>
              <w:rPr>
                <w:rFonts w:hint="eastAsia" w:ascii="宋体" w:hAnsi="宋体" w:eastAsia="宋体" w:cs="宋体"/>
                <w:color w:val="auto"/>
                <w:sz w:val="24"/>
                <w:szCs w:val="28"/>
                <w:highlight w:val="none"/>
              </w:rPr>
              <w:t>）本项目不接受联合体投标。</w:t>
            </w:r>
          </w:p>
          <w:p w14:paraId="297131FB">
            <w:pPr>
              <w:pStyle w:val="2"/>
              <w:ind w:left="0" w:leftChars="0" w:firstLine="0" w:firstLineChars="0"/>
              <w:jc w:val="both"/>
              <w:rPr>
                <w:color w:val="auto"/>
                <w:highlight w:val="none"/>
              </w:rPr>
            </w:pPr>
            <w:r>
              <w:rPr>
                <w:rFonts w:hint="eastAsia" w:ascii="宋体" w:hAnsi="宋体" w:eastAsia="宋体" w:cs="宋体"/>
                <w:b w:val="0"/>
                <w:color w:val="auto"/>
                <w:kern w:val="2"/>
                <w:sz w:val="24"/>
                <w:szCs w:val="28"/>
                <w:highlight w:val="none"/>
                <w:lang w:val="en-US" w:eastAsia="zh-CN" w:bidi="ar-SA"/>
              </w:rPr>
              <w:t>本次招标实行资格后审，资格评审以投标文件为准，其上传资料真实性由供应商自行承担，同时供应商要完善主体库；其中银行、保险、石油石化、电力、电信等有行业特殊情况的，允许分公司投标，但同一上级公司的两个分支机构不得同时参加投标，分支机构允许使用所属法人单位的相关资料进行投标。</w:t>
            </w:r>
          </w:p>
        </w:tc>
      </w:tr>
      <w:tr w14:paraId="3FBA5C75">
        <w:tblPrEx>
          <w:tblCellMar>
            <w:top w:w="0" w:type="dxa"/>
            <w:left w:w="0" w:type="dxa"/>
            <w:bottom w:w="0" w:type="dxa"/>
            <w:right w:w="0" w:type="dxa"/>
          </w:tblCellMar>
        </w:tblPrEx>
        <w:trPr>
          <w:trHeight w:val="454"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337267A9">
            <w:pPr>
              <w:spacing w:line="360" w:lineRule="auto"/>
              <w:ind w:right="105" w:rightChars="50"/>
              <w:jc w:val="center"/>
              <w:rPr>
                <w:rFonts w:hint="eastAsia" w:ascii="宋体" w:eastAsia="宋体"/>
                <w:color w:val="auto"/>
                <w:sz w:val="24"/>
                <w:szCs w:val="24"/>
                <w:highlight w:val="none"/>
                <w:lang w:eastAsia="zh-CN"/>
              </w:rPr>
            </w:pPr>
            <w:r>
              <w:rPr>
                <w:rFonts w:ascii="宋体" w:hAnsi="宋体" w:cs="宋体"/>
                <w:color w:val="auto"/>
                <w:sz w:val="24"/>
                <w:szCs w:val="24"/>
                <w:highlight w:val="none"/>
              </w:rPr>
              <w:t>2.</w:t>
            </w:r>
            <w:r>
              <w:rPr>
                <w:rFonts w:hint="eastAsia" w:ascii="宋体" w:hAnsi="宋体" w:cs="宋体"/>
                <w:color w:val="auto"/>
                <w:sz w:val="24"/>
                <w:szCs w:val="24"/>
                <w:highlight w:val="none"/>
                <w:lang w:val="en-US" w:eastAsia="zh-CN"/>
              </w:rPr>
              <w:t>1</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2B50C303">
            <w:pPr>
              <w:spacing w:line="480" w:lineRule="auto"/>
              <w:jc w:val="center"/>
              <w:rPr>
                <w:rFonts w:ascii="宋体"/>
                <w:color w:val="auto"/>
                <w:sz w:val="24"/>
                <w:szCs w:val="24"/>
                <w:highlight w:val="none"/>
              </w:rPr>
            </w:pPr>
            <w:r>
              <w:rPr>
                <w:rFonts w:hint="eastAsia" w:ascii="宋体" w:hAnsi="宋体" w:cs="宋体"/>
                <w:color w:val="auto"/>
                <w:sz w:val="24"/>
                <w:szCs w:val="24"/>
                <w:highlight w:val="none"/>
              </w:rPr>
              <w:t>踏勘现场</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351C5922">
            <w:pPr>
              <w:spacing w:line="360" w:lineRule="auto"/>
              <w:rPr>
                <w:rFonts w:ascii="宋体" w:hAnsi="宋体"/>
                <w:color w:val="auto"/>
                <w:sz w:val="24"/>
                <w:szCs w:val="24"/>
                <w:highlight w:val="none"/>
              </w:rPr>
            </w:pPr>
            <w:r>
              <w:rPr>
                <w:rFonts w:hint="eastAsia" w:ascii="宋体" w:hAnsi="宋体" w:cs="宋体"/>
                <w:color w:val="auto"/>
                <w:sz w:val="24"/>
                <w:szCs w:val="24"/>
                <w:highlight w:val="none"/>
              </w:rPr>
              <w:t>不组织</w:t>
            </w:r>
          </w:p>
        </w:tc>
      </w:tr>
      <w:tr w14:paraId="531237EA">
        <w:tblPrEx>
          <w:tblCellMar>
            <w:top w:w="0" w:type="dxa"/>
            <w:left w:w="0" w:type="dxa"/>
            <w:bottom w:w="0" w:type="dxa"/>
            <w:right w:w="0" w:type="dxa"/>
          </w:tblCellMar>
        </w:tblPrEx>
        <w:trPr>
          <w:trHeight w:val="589"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29933443">
            <w:pPr>
              <w:spacing w:line="360" w:lineRule="auto"/>
              <w:ind w:right="105" w:rightChars="50"/>
              <w:jc w:val="center"/>
              <w:rPr>
                <w:rFonts w:hint="eastAsia" w:ascii="宋体" w:eastAsia="宋体"/>
                <w:color w:val="auto"/>
                <w:sz w:val="24"/>
                <w:szCs w:val="24"/>
                <w:highlight w:val="none"/>
                <w:lang w:eastAsia="zh-CN"/>
              </w:rPr>
            </w:pPr>
            <w:r>
              <w:rPr>
                <w:rFonts w:ascii="宋体" w:hAnsi="宋体" w:cs="宋体"/>
                <w:color w:val="auto"/>
                <w:sz w:val="24"/>
                <w:szCs w:val="24"/>
                <w:highlight w:val="none"/>
              </w:rPr>
              <w:t>2.</w:t>
            </w:r>
            <w:r>
              <w:rPr>
                <w:rFonts w:hint="eastAsia" w:ascii="宋体" w:hAnsi="宋体" w:cs="宋体"/>
                <w:color w:val="auto"/>
                <w:sz w:val="24"/>
                <w:szCs w:val="24"/>
                <w:highlight w:val="none"/>
                <w:lang w:val="en-US" w:eastAsia="zh-CN"/>
              </w:rPr>
              <w:t>2</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0236C841">
            <w:pPr>
              <w:spacing w:line="360" w:lineRule="auto"/>
              <w:ind w:right="105" w:rightChars="50"/>
              <w:jc w:val="center"/>
              <w:rPr>
                <w:rFonts w:ascii="宋体"/>
                <w:color w:val="auto"/>
                <w:sz w:val="24"/>
                <w:szCs w:val="24"/>
                <w:highlight w:val="none"/>
              </w:rPr>
            </w:pPr>
            <w:r>
              <w:rPr>
                <w:rFonts w:hint="eastAsia" w:ascii="宋体" w:hAnsi="宋体" w:cs="宋体"/>
                <w:color w:val="auto"/>
                <w:sz w:val="24"/>
                <w:szCs w:val="24"/>
                <w:highlight w:val="none"/>
              </w:rPr>
              <w:t>投标预备会</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10F07436">
            <w:pPr>
              <w:spacing w:line="360" w:lineRule="auto"/>
              <w:ind w:right="105" w:rightChars="50"/>
              <w:rPr>
                <w:rFonts w:ascii="宋体"/>
                <w:color w:val="auto"/>
                <w:sz w:val="24"/>
                <w:szCs w:val="24"/>
                <w:highlight w:val="none"/>
              </w:rPr>
            </w:pPr>
            <w:r>
              <w:rPr>
                <w:rFonts w:hint="eastAsia" w:ascii="宋体" w:hAnsi="宋体" w:cs="宋体"/>
                <w:color w:val="auto"/>
                <w:sz w:val="24"/>
                <w:szCs w:val="24"/>
                <w:highlight w:val="none"/>
              </w:rPr>
              <w:t>不召开</w:t>
            </w:r>
          </w:p>
        </w:tc>
      </w:tr>
      <w:tr w14:paraId="2E412014">
        <w:tblPrEx>
          <w:tblCellMar>
            <w:top w:w="0" w:type="dxa"/>
            <w:left w:w="0" w:type="dxa"/>
            <w:bottom w:w="0" w:type="dxa"/>
            <w:right w:w="0" w:type="dxa"/>
          </w:tblCellMar>
        </w:tblPrEx>
        <w:trPr>
          <w:trHeight w:val="560"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74E16938">
            <w:pPr>
              <w:spacing w:line="360" w:lineRule="auto"/>
              <w:ind w:right="105" w:rightChars="50"/>
              <w:jc w:val="center"/>
              <w:rPr>
                <w:rFonts w:hint="eastAsia" w:ascii="宋体" w:eastAsia="宋体"/>
                <w:color w:val="auto"/>
                <w:sz w:val="24"/>
                <w:szCs w:val="24"/>
                <w:highlight w:val="none"/>
                <w:lang w:eastAsia="zh-CN"/>
              </w:rPr>
            </w:pPr>
            <w:r>
              <w:rPr>
                <w:rFonts w:ascii="宋体" w:hAnsi="宋体" w:cs="宋体"/>
                <w:color w:val="auto"/>
                <w:sz w:val="24"/>
                <w:szCs w:val="24"/>
                <w:highlight w:val="none"/>
              </w:rPr>
              <w:t>2.</w:t>
            </w:r>
            <w:r>
              <w:rPr>
                <w:rFonts w:hint="eastAsia" w:ascii="宋体" w:hAnsi="宋体" w:cs="宋体"/>
                <w:color w:val="auto"/>
                <w:sz w:val="24"/>
                <w:szCs w:val="24"/>
                <w:highlight w:val="none"/>
                <w:lang w:val="en-US" w:eastAsia="zh-CN"/>
              </w:rPr>
              <w:t>3</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4F44F747">
            <w:pPr>
              <w:spacing w:line="360" w:lineRule="auto"/>
              <w:ind w:right="105" w:rightChars="50"/>
              <w:jc w:val="center"/>
              <w:rPr>
                <w:rFonts w:ascii="宋体"/>
                <w:color w:val="auto"/>
                <w:sz w:val="24"/>
                <w:szCs w:val="24"/>
                <w:highlight w:val="none"/>
              </w:rPr>
            </w:pPr>
            <w:r>
              <w:rPr>
                <w:rFonts w:hint="eastAsia" w:ascii="宋体" w:hAnsi="宋体" w:cs="宋体"/>
                <w:color w:val="auto"/>
                <w:sz w:val="24"/>
                <w:szCs w:val="24"/>
                <w:highlight w:val="none"/>
              </w:rPr>
              <w:t>投标供应商提出问题的截止时间</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43077B47">
            <w:pPr>
              <w:spacing w:line="360" w:lineRule="auto"/>
              <w:ind w:right="105" w:rightChars="50"/>
              <w:rPr>
                <w:rFonts w:ascii="宋体"/>
                <w:color w:val="auto"/>
                <w:sz w:val="24"/>
                <w:szCs w:val="24"/>
                <w:highlight w:val="none"/>
              </w:rPr>
            </w:pPr>
            <w:r>
              <w:rPr>
                <w:rFonts w:hint="eastAsia" w:ascii="宋体" w:hAnsi="宋体" w:cs="宋体"/>
                <w:color w:val="auto"/>
                <w:sz w:val="24"/>
                <w:szCs w:val="24"/>
                <w:highlight w:val="none"/>
              </w:rPr>
              <w:t>投标截止</w:t>
            </w:r>
            <w:r>
              <w:rPr>
                <w:rFonts w:ascii="宋体" w:hAnsi="宋体" w:cs="宋体"/>
                <w:color w:val="auto"/>
                <w:sz w:val="24"/>
                <w:szCs w:val="24"/>
                <w:highlight w:val="none"/>
              </w:rPr>
              <w:t>10</w:t>
            </w:r>
            <w:r>
              <w:rPr>
                <w:rFonts w:hint="eastAsia" w:ascii="宋体" w:hAnsi="宋体" w:cs="宋体"/>
                <w:color w:val="auto"/>
                <w:sz w:val="24"/>
                <w:szCs w:val="24"/>
                <w:highlight w:val="none"/>
              </w:rPr>
              <w:t>日前</w:t>
            </w:r>
            <w:r>
              <w:rPr>
                <w:rFonts w:ascii="宋体"/>
                <w:color w:val="auto"/>
                <w:sz w:val="24"/>
                <w:szCs w:val="24"/>
                <w:highlight w:val="none"/>
              </w:rPr>
              <w:t xml:space="preserve"> </w:t>
            </w:r>
          </w:p>
        </w:tc>
      </w:tr>
      <w:tr w14:paraId="344A4DB9">
        <w:tblPrEx>
          <w:tblCellMar>
            <w:top w:w="0" w:type="dxa"/>
            <w:left w:w="0" w:type="dxa"/>
            <w:bottom w:w="0" w:type="dxa"/>
            <w:right w:w="0" w:type="dxa"/>
          </w:tblCellMar>
        </w:tblPrEx>
        <w:trPr>
          <w:trHeight w:val="937"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6220D987">
            <w:pPr>
              <w:spacing w:line="360" w:lineRule="auto"/>
              <w:ind w:right="105" w:rightChars="50"/>
              <w:jc w:val="center"/>
              <w:rPr>
                <w:rFonts w:hint="eastAsia" w:ascii="宋体" w:eastAsia="宋体"/>
                <w:color w:val="auto"/>
                <w:sz w:val="24"/>
                <w:szCs w:val="24"/>
                <w:highlight w:val="none"/>
                <w:lang w:eastAsia="zh-CN"/>
              </w:rPr>
            </w:pPr>
            <w:r>
              <w:rPr>
                <w:rFonts w:ascii="宋体" w:hAnsi="宋体" w:cs="宋体"/>
                <w:color w:val="auto"/>
                <w:sz w:val="24"/>
                <w:szCs w:val="24"/>
                <w:highlight w:val="none"/>
              </w:rPr>
              <w:t>2.</w:t>
            </w:r>
            <w:r>
              <w:rPr>
                <w:rFonts w:hint="eastAsia" w:ascii="宋体" w:hAnsi="宋体" w:cs="宋体"/>
                <w:color w:val="auto"/>
                <w:sz w:val="24"/>
                <w:szCs w:val="24"/>
                <w:highlight w:val="none"/>
                <w:lang w:val="en-US" w:eastAsia="zh-CN"/>
              </w:rPr>
              <w:t>4</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47737245">
            <w:pPr>
              <w:spacing w:line="360" w:lineRule="auto"/>
              <w:ind w:right="105" w:rightChars="50"/>
              <w:jc w:val="center"/>
              <w:rPr>
                <w:rFonts w:ascii="宋体"/>
                <w:color w:val="auto"/>
                <w:sz w:val="24"/>
                <w:szCs w:val="24"/>
                <w:highlight w:val="none"/>
              </w:rPr>
            </w:pPr>
            <w:r>
              <w:rPr>
                <w:rFonts w:hint="eastAsia" w:ascii="宋体" w:hAnsi="宋体" w:cs="宋体"/>
                <w:color w:val="auto"/>
                <w:sz w:val="24"/>
                <w:szCs w:val="24"/>
                <w:highlight w:val="none"/>
              </w:rPr>
              <w:t>采购人书面澄清的时间</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6F2DE5D4">
            <w:pPr>
              <w:spacing w:line="360" w:lineRule="auto"/>
              <w:ind w:right="105" w:rightChars="50"/>
              <w:rPr>
                <w:rFonts w:ascii="宋体"/>
                <w:color w:val="auto"/>
                <w:sz w:val="24"/>
                <w:szCs w:val="24"/>
                <w:highlight w:val="none"/>
              </w:rPr>
            </w:pPr>
            <w:r>
              <w:rPr>
                <w:rFonts w:hint="eastAsia" w:ascii="宋体" w:hAnsi="宋体" w:cs="宋体"/>
                <w:color w:val="auto"/>
                <w:sz w:val="24"/>
                <w:szCs w:val="24"/>
                <w:highlight w:val="none"/>
              </w:rPr>
              <w:t>投标截止</w:t>
            </w:r>
            <w:r>
              <w:rPr>
                <w:rFonts w:ascii="宋体" w:hAnsi="宋体" w:cs="宋体"/>
                <w:color w:val="auto"/>
                <w:sz w:val="24"/>
                <w:szCs w:val="24"/>
                <w:highlight w:val="none"/>
              </w:rPr>
              <w:t>15</w:t>
            </w:r>
            <w:r>
              <w:rPr>
                <w:rFonts w:hint="eastAsia" w:ascii="宋体" w:hAnsi="宋体" w:cs="宋体"/>
                <w:color w:val="auto"/>
                <w:sz w:val="24"/>
                <w:szCs w:val="24"/>
                <w:highlight w:val="none"/>
              </w:rPr>
              <w:t>日前。</w:t>
            </w:r>
          </w:p>
        </w:tc>
      </w:tr>
      <w:tr w14:paraId="03C758D6">
        <w:tblPrEx>
          <w:tblCellMar>
            <w:top w:w="0" w:type="dxa"/>
            <w:left w:w="0" w:type="dxa"/>
            <w:bottom w:w="0" w:type="dxa"/>
            <w:right w:w="0" w:type="dxa"/>
          </w:tblCellMar>
        </w:tblPrEx>
        <w:trPr>
          <w:trHeight w:val="502"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10FF0AEF">
            <w:pPr>
              <w:spacing w:line="360" w:lineRule="auto"/>
              <w:ind w:right="105" w:rightChars="50"/>
              <w:jc w:val="center"/>
              <w:rPr>
                <w:rFonts w:hint="eastAsia" w:ascii="宋体" w:eastAsia="宋体"/>
                <w:color w:val="auto"/>
                <w:sz w:val="24"/>
                <w:szCs w:val="24"/>
                <w:highlight w:val="none"/>
                <w:lang w:eastAsia="zh-CN"/>
              </w:rPr>
            </w:pPr>
            <w:r>
              <w:rPr>
                <w:rFonts w:ascii="宋体" w:hAnsi="宋体" w:cs="宋体"/>
                <w:color w:val="auto"/>
                <w:sz w:val="24"/>
                <w:szCs w:val="24"/>
                <w:highlight w:val="none"/>
              </w:rPr>
              <w:t>2.</w:t>
            </w:r>
            <w:r>
              <w:rPr>
                <w:rFonts w:hint="eastAsia" w:ascii="宋体" w:hAnsi="宋体" w:cs="宋体"/>
                <w:color w:val="auto"/>
                <w:sz w:val="24"/>
                <w:szCs w:val="24"/>
                <w:highlight w:val="none"/>
                <w:lang w:val="en-US" w:eastAsia="zh-CN"/>
              </w:rPr>
              <w:t>5</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49619F02">
            <w:pPr>
              <w:spacing w:line="360" w:lineRule="auto"/>
              <w:ind w:right="105" w:rightChars="50"/>
              <w:jc w:val="center"/>
              <w:rPr>
                <w:rFonts w:ascii="宋体"/>
                <w:color w:val="auto"/>
                <w:sz w:val="24"/>
                <w:szCs w:val="24"/>
                <w:highlight w:val="none"/>
              </w:rPr>
            </w:pPr>
            <w:r>
              <w:rPr>
                <w:rFonts w:hint="eastAsia" w:ascii="宋体" w:hAnsi="宋体" w:cs="宋体"/>
                <w:color w:val="auto"/>
                <w:sz w:val="24"/>
                <w:szCs w:val="24"/>
                <w:highlight w:val="none"/>
              </w:rPr>
              <w:t>偏离</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6DAE14E0">
            <w:pPr>
              <w:spacing w:line="360" w:lineRule="auto"/>
              <w:ind w:right="105" w:rightChars="50"/>
              <w:rPr>
                <w:rFonts w:ascii="宋体"/>
                <w:color w:val="auto"/>
                <w:sz w:val="24"/>
                <w:szCs w:val="24"/>
                <w:highlight w:val="none"/>
              </w:rPr>
            </w:pPr>
            <w:r>
              <w:rPr>
                <w:rFonts w:hint="eastAsia" w:ascii="宋体" w:hAnsi="宋体" w:cs="宋体"/>
                <w:color w:val="auto"/>
                <w:sz w:val="24"/>
                <w:szCs w:val="24"/>
                <w:highlight w:val="none"/>
              </w:rPr>
              <w:t>允许</w:t>
            </w:r>
          </w:p>
        </w:tc>
      </w:tr>
      <w:tr w14:paraId="405313B6">
        <w:tblPrEx>
          <w:tblCellMar>
            <w:top w:w="0" w:type="dxa"/>
            <w:left w:w="0" w:type="dxa"/>
            <w:bottom w:w="0" w:type="dxa"/>
            <w:right w:w="0" w:type="dxa"/>
          </w:tblCellMar>
        </w:tblPrEx>
        <w:trPr>
          <w:trHeight w:val="522"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142CC0C1">
            <w:pPr>
              <w:spacing w:line="360" w:lineRule="auto"/>
              <w:ind w:right="105" w:rightChars="50"/>
              <w:jc w:val="center"/>
              <w:rPr>
                <w:rFonts w:hint="eastAsia" w:ascii="宋体" w:eastAsia="宋体"/>
                <w:color w:val="auto"/>
                <w:sz w:val="24"/>
                <w:szCs w:val="24"/>
                <w:highlight w:val="none"/>
                <w:lang w:eastAsia="zh-CN"/>
              </w:rPr>
            </w:pPr>
            <w:r>
              <w:rPr>
                <w:rFonts w:ascii="宋体" w:hAnsi="宋体" w:cs="宋体"/>
                <w:color w:val="auto"/>
                <w:sz w:val="24"/>
                <w:szCs w:val="24"/>
                <w:highlight w:val="none"/>
              </w:rPr>
              <w:t>2.</w:t>
            </w:r>
            <w:r>
              <w:rPr>
                <w:rFonts w:hint="eastAsia" w:ascii="宋体" w:hAnsi="宋体" w:cs="宋体"/>
                <w:color w:val="auto"/>
                <w:sz w:val="24"/>
                <w:szCs w:val="24"/>
                <w:highlight w:val="none"/>
                <w:lang w:val="en-US" w:eastAsia="zh-CN"/>
              </w:rPr>
              <w:t>6</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1408AE38">
            <w:pPr>
              <w:spacing w:line="360" w:lineRule="auto"/>
              <w:ind w:right="105" w:rightChars="50"/>
              <w:jc w:val="center"/>
              <w:rPr>
                <w:rFonts w:ascii="宋体" w:hAnsi="宋体" w:cs="宋体"/>
                <w:color w:val="auto"/>
                <w:sz w:val="24"/>
                <w:szCs w:val="24"/>
                <w:highlight w:val="none"/>
              </w:rPr>
            </w:pPr>
            <w:r>
              <w:rPr>
                <w:rFonts w:cs="宋体"/>
                <w:color w:val="auto"/>
                <w:sz w:val="24"/>
                <w:szCs w:val="24"/>
                <w:highlight w:val="none"/>
              </w:rPr>
              <w:t>投标文件的签章</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186E98A0">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电子化投标文件的签章：</w:t>
            </w:r>
          </w:p>
          <w:p w14:paraId="1131ECB5">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1、投标人在生成电子化投标文件后，应对电子化投标文件进行签章，未对电子化文件进行签章的视为无效投标。</w:t>
            </w:r>
          </w:p>
          <w:p w14:paraId="7687AF56">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2、招标文件中要求法定代表人或授权委托人盖章的，投标人在进行电子化投标文件签章时，以签盖法定代表人签章为准。</w:t>
            </w:r>
          </w:p>
          <w:p w14:paraId="4D03DCAD">
            <w:pPr>
              <w:spacing w:line="360" w:lineRule="auto"/>
              <w:ind w:right="105" w:rightChars="5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3、</w:t>
            </w:r>
            <w:r>
              <w:rPr>
                <w:rFonts w:hint="eastAsia" w:ascii="宋体" w:hAnsi="宋体" w:eastAsia="宋体" w:cs="宋体"/>
                <w:color w:val="auto"/>
                <w:sz w:val="24"/>
                <w:szCs w:val="24"/>
                <w:highlight w:val="none"/>
              </w:rPr>
              <w:t>电子化投标文件工具请在三门峡市公共资源交易中心网首页“帮助中心”下载</w:t>
            </w:r>
          </w:p>
        </w:tc>
      </w:tr>
      <w:tr w14:paraId="54E69E71">
        <w:tblPrEx>
          <w:tblCellMar>
            <w:top w:w="0" w:type="dxa"/>
            <w:left w:w="0" w:type="dxa"/>
            <w:bottom w:w="0" w:type="dxa"/>
            <w:right w:w="0" w:type="dxa"/>
          </w:tblCellMar>
        </w:tblPrEx>
        <w:trPr>
          <w:trHeight w:val="409"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5C79E904">
            <w:pPr>
              <w:spacing w:line="360" w:lineRule="auto"/>
              <w:ind w:right="105" w:rightChars="50"/>
              <w:jc w:val="center"/>
              <w:rPr>
                <w:rFonts w:hint="eastAsia" w:ascii="宋体" w:eastAsia="宋体"/>
                <w:color w:val="auto"/>
                <w:sz w:val="24"/>
                <w:szCs w:val="24"/>
                <w:highlight w:val="none"/>
                <w:lang w:eastAsia="zh-CN"/>
              </w:rPr>
            </w:pPr>
            <w:r>
              <w:rPr>
                <w:rFonts w:ascii="宋体" w:hAnsi="宋体" w:cs="宋体"/>
                <w:color w:val="auto"/>
                <w:sz w:val="24"/>
                <w:szCs w:val="24"/>
                <w:highlight w:val="none"/>
              </w:rPr>
              <w:t>2.</w:t>
            </w:r>
            <w:r>
              <w:rPr>
                <w:rFonts w:hint="eastAsia" w:ascii="宋体" w:hAnsi="宋体" w:cs="宋体"/>
                <w:color w:val="auto"/>
                <w:sz w:val="24"/>
                <w:szCs w:val="24"/>
                <w:highlight w:val="none"/>
                <w:lang w:val="en-US" w:eastAsia="zh-CN"/>
              </w:rPr>
              <w:t>7</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6DFD4412">
            <w:pPr>
              <w:spacing w:line="360" w:lineRule="auto"/>
              <w:ind w:right="105" w:rightChars="50"/>
              <w:jc w:val="center"/>
              <w:rPr>
                <w:rFonts w:ascii="宋体"/>
                <w:color w:val="auto"/>
                <w:sz w:val="24"/>
                <w:szCs w:val="24"/>
                <w:highlight w:val="none"/>
              </w:rPr>
            </w:pPr>
            <w:r>
              <w:rPr>
                <w:rFonts w:hint="eastAsia" w:ascii="宋体" w:hAnsi="宋体" w:cs="宋体"/>
                <w:color w:val="auto"/>
                <w:sz w:val="24"/>
                <w:szCs w:val="24"/>
                <w:highlight w:val="none"/>
              </w:rPr>
              <w:t>投标截止时间</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70CFD5E3">
            <w:pPr>
              <w:spacing w:line="480" w:lineRule="auto"/>
              <w:rPr>
                <w:rFonts w:ascii="宋体"/>
                <w:color w:val="auto"/>
                <w:sz w:val="28"/>
                <w:szCs w:val="28"/>
                <w:highlight w:val="none"/>
              </w:rPr>
            </w:pPr>
            <w:r>
              <w:rPr>
                <w:rFonts w:hint="eastAsia" w:ascii="宋体" w:hAnsi="宋体" w:cs="宋体"/>
                <w:color w:val="auto"/>
                <w:sz w:val="24"/>
                <w:szCs w:val="24"/>
                <w:highlight w:val="none"/>
              </w:rPr>
              <w:t>同开标时间</w:t>
            </w:r>
          </w:p>
        </w:tc>
      </w:tr>
      <w:tr w14:paraId="34969F37">
        <w:tblPrEx>
          <w:tblCellMar>
            <w:top w:w="0" w:type="dxa"/>
            <w:left w:w="0" w:type="dxa"/>
            <w:bottom w:w="0" w:type="dxa"/>
            <w:right w:w="0" w:type="dxa"/>
          </w:tblCellMar>
        </w:tblPrEx>
        <w:trPr>
          <w:trHeight w:val="565"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7502D0ED">
            <w:pPr>
              <w:spacing w:line="360" w:lineRule="auto"/>
              <w:ind w:right="105" w:rightChars="50"/>
              <w:jc w:val="center"/>
              <w:rPr>
                <w:rFonts w:hint="eastAsia" w:ascii="宋体" w:eastAsia="宋体"/>
                <w:color w:val="auto"/>
                <w:sz w:val="24"/>
                <w:szCs w:val="24"/>
                <w:highlight w:val="none"/>
                <w:lang w:eastAsia="zh-CN"/>
              </w:rPr>
            </w:pPr>
            <w:r>
              <w:rPr>
                <w:rFonts w:ascii="宋体" w:hAnsi="宋体" w:cs="宋体"/>
                <w:color w:val="auto"/>
                <w:sz w:val="24"/>
                <w:szCs w:val="24"/>
                <w:highlight w:val="none"/>
              </w:rPr>
              <w:t>2.</w:t>
            </w:r>
            <w:r>
              <w:rPr>
                <w:rFonts w:hint="eastAsia" w:ascii="宋体" w:hAnsi="宋体" w:cs="宋体"/>
                <w:color w:val="auto"/>
                <w:sz w:val="24"/>
                <w:szCs w:val="24"/>
                <w:highlight w:val="none"/>
                <w:lang w:val="en-US" w:eastAsia="zh-CN"/>
              </w:rPr>
              <w:t>8</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585D3A05">
            <w:pPr>
              <w:spacing w:line="360" w:lineRule="auto"/>
              <w:ind w:right="105" w:rightChars="50"/>
              <w:jc w:val="center"/>
              <w:rPr>
                <w:rFonts w:ascii="宋体"/>
                <w:color w:val="auto"/>
                <w:sz w:val="24"/>
                <w:szCs w:val="24"/>
                <w:highlight w:val="none"/>
              </w:rPr>
            </w:pPr>
            <w:r>
              <w:rPr>
                <w:rFonts w:hint="eastAsia" w:ascii="宋体" w:hAnsi="宋体" w:cs="宋体"/>
                <w:color w:val="auto"/>
                <w:sz w:val="24"/>
                <w:szCs w:val="24"/>
                <w:highlight w:val="none"/>
              </w:rPr>
              <w:t>投标有效期</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0319C671">
            <w:pPr>
              <w:spacing w:line="360" w:lineRule="auto"/>
              <w:ind w:right="105" w:rightChars="50"/>
              <w:rPr>
                <w:rFonts w:ascii="宋体"/>
                <w:color w:val="auto"/>
                <w:sz w:val="24"/>
                <w:szCs w:val="24"/>
                <w:highlight w:val="none"/>
              </w:rPr>
            </w:pPr>
            <w:r>
              <w:rPr>
                <w:rFonts w:hint="eastAsia" w:ascii="宋体" w:hAnsi="宋体" w:cs="宋体"/>
                <w:color w:val="auto"/>
                <w:sz w:val="24"/>
                <w:szCs w:val="24"/>
                <w:highlight w:val="none"/>
              </w:rPr>
              <w:t>从投标截止之日起</w:t>
            </w:r>
            <w:r>
              <w:rPr>
                <w:rFonts w:ascii="宋体" w:hAnsi="宋体" w:cs="宋体"/>
                <w:color w:val="auto"/>
                <w:sz w:val="24"/>
                <w:szCs w:val="24"/>
                <w:highlight w:val="none"/>
              </w:rPr>
              <w:t>60</w:t>
            </w:r>
            <w:r>
              <w:rPr>
                <w:rFonts w:hint="eastAsia" w:ascii="宋体" w:hAnsi="宋体" w:cs="宋体"/>
                <w:color w:val="auto"/>
                <w:sz w:val="24"/>
                <w:szCs w:val="24"/>
                <w:highlight w:val="none"/>
              </w:rPr>
              <w:t>日历天</w:t>
            </w:r>
          </w:p>
        </w:tc>
      </w:tr>
      <w:tr w14:paraId="1F28BB36">
        <w:tblPrEx>
          <w:tblCellMar>
            <w:top w:w="0" w:type="dxa"/>
            <w:left w:w="0" w:type="dxa"/>
            <w:bottom w:w="0" w:type="dxa"/>
            <w:right w:w="0" w:type="dxa"/>
          </w:tblCellMar>
        </w:tblPrEx>
        <w:trPr>
          <w:trHeight w:val="871" w:hRule="atLeast"/>
          <w:jc w:val="center"/>
        </w:trPr>
        <w:tc>
          <w:tcPr>
            <w:tcW w:w="1144"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8148E9C">
            <w:pPr>
              <w:spacing w:line="360" w:lineRule="auto"/>
              <w:ind w:right="105" w:rightChars="50"/>
              <w:jc w:val="center"/>
              <w:rPr>
                <w:rFonts w:hint="eastAsia" w:ascii="宋体" w:eastAsia="宋体"/>
                <w:color w:val="auto"/>
                <w:sz w:val="24"/>
                <w:szCs w:val="24"/>
                <w:highlight w:val="none"/>
                <w:lang w:eastAsia="zh-CN"/>
              </w:rPr>
            </w:pPr>
            <w:r>
              <w:rPr>
                <w:rFonts w:ascii="宋体" w:hAnsi="宋体" w:cs="宋体"/>
                <w:color w:val="auto"/>
                <w:sz w:val="24"/>
                <w:szCs w:val="24"/>
                <w:highlight w:val="none"/>
              </w:rPr>
              <w:t>2.</w:t>
            </w:r>
            <w:r>
              <w:rPr>
                <w:rFonts w:hint="eastAsia" w:ascii="宋体" w:hAnsi="宋体" w:cs="宋体"/>
                <w:color w:val="auto"/>
                <w:sz w:val="24"/>
                <w:szCs w:val="24"/>
                <w:highlight w:val="none"/>
                <w:lang w:val="en-US" w:eastAsia="zh-CN"/>
              </w:rPr>
              <w:t>9</w:t>
            </w:r>
          </w:p>
        </w:tc>
        <w:tc>
          <w:tcPr>
            <w:tcW w:w="2055"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1F86A08">
            <w:pPr>
              <w:spacing w:line="360" w:lineRule="auto"/>
              <w:ind w:right="105" w:rightChars="50"/>
              <w:jc w:val="center"/>
              <w:rPr>
                <w:rFonts w:ascii="宋体"/>
                <w:color w:val="auto"/>
                <w:sz w:val="24"/>
                <w:szCs w:val="24"/>
                <w:highlight w:val="none"/>
              </w:rPr>
            </w:pPr>
            <w:r>
              <w:rPr>
                <w:rFonts w:hint="eastAsia" w:ascii="宋体" w:hAnsi="宋体" w:cs="宋体"/>
                <w:color w:val="auto"/>
                <w:sz w:val="24"/>
                <w:szCs w:val="24"/>
                <w:highlight w:val="none"/>
              </w:rPr>
              <w:t>开标时间和地点</w:t>
            </w:r>
          </w:p>
        </w:tc>
        <w:tc>
          <w:tcPr>
            <w:tcW w:w="6602"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5D36749B">
            <w:pPr>
              <w:spacing w:line="360" w:lineRule="auto"/>
              <w:ind w:right="105" w:rightChars="50"/>
              <w:rPr>
                <w:rFonts w:hint="eastAsia" w:ascii="宋体" w:hAnsi="宋体"/>
                <w:color w:val="auto"/>
                <w:sz w:val="24"/>
                <w:szCs w:val="24"/>
                <w:highlight w:val="none"/>
              </w:rPr>
            </w:pPr>
            <w:r>
              <w:rPr>
                <w:rFonts w:hint="eastAsia" w:ascii="宋体" w:hAnsi="宋体" w:cs="宋体"/>
                <w:color w:val="auto"/>
                <w:sz w:val="24"/>
                <w:szCs w:val="24"/>
                <w:highlight w:val="none"/>
              </w:rPr>
              <w:t>时间：</w:t>
            </w:r>
            <w:r>
              <w:rPr>
                <w:rFonts w:hint="eastAsia" w:ascii="宋体" w:hAnsi="宋体"/>
                <w:color w:val="auto"/>
                <w:sz w:val="24"/>
                <w:szCs w:val="24"/>
                <w:highlight w:val="none"/>
              </w:rPr>
              <w:t>202</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18</w:t>
            </w:r>
            <w:r>
              <w:rPr>
                <w:rFonts w:hint="eastAsia" w:ascii="宋体" w:hAnsi="宋体"/>
                <w:color w:val="auto"/>
                <w:sz w:val="24"/>
                <w:szCs w:val="24"/>
                <w:highlight w:val="none"/>
              </w:rPr>
              <w:t>日8时30分（北京时间）</w:t>
            </w:r>
          </w:p>
          <w:p w14:paraId="19D96679">
            <w:pPr>
              <w:spacing w:line="360" w:lineRule="auto"/>
              <w:ind w:right="105" w:rightChars="50"/>
              <w:rPr>
                <w:rFonts w:ascii="宋体"/>
                <w:color w:val="auto"/>
                <w:sz w:val="24"/>
                <w:szCs w:val="24"/>
                <w:highlight w:val="none"/>
              </w:rPr>
            </w:pPr>
            <w:r>
              <w:rPr>
                <w:rFonts w:hint="eastAsia" w:ascii="宋体" w:hAnsi="宋体"/>
                <w:color w:val="auto"/>
                <w:sz w:val="24"/>
                <w:szCs w:val="24"/>
                <w:highlight w:val="none"/>
              </w:rPr>
              <w:t>地点：义马市公共资源交易中心开标</w:t>
            </w:r>
            <w:r>
              <w:rPr>
                <w:rFonts w:hint="eastAsia" w:ascii="宋体" w:hAnsi="宋体"/>
                <w:color w:val="auto"/>
                <w:sz w:val="24"/>
                <w:szCs w:val="24"/>
                <w:highlight w:val="none"/>
                <w:lang w:val="en-US" w:eastAsia="zh-CN"/>
              </w:rPr>
              <w:t>一</w:t>
            </w:r>
            <w:r>
              <w:rPr>
                <w:rFonts w:hint="eastAsia" w:ascii="宋体" w:hAnsi="宋体"/>
                <w:color w:val="auto"/>
                <w:sz w:val="24"/>
                <w:szCs w:val="24"/>
                <w:highlight w:val="none"/>
              </w:rPr>
              <w:t>室。</w:t>
            </w:r>
          </w:p>
        </w:tc>
      </w:tr>
      <w:tr w14:paraId="3F41839A">
        <w:tblPrEx>
          <w:tblCellMar>
            <w:top w:w="0" w:type="dxa"/>
            <w:left w:w="0" w:type="dxa"/>
            <w:bottom w:w="0" w:type="dxa"/>
            <w:right w:w="0" w:type="dxa"/>
          </w:tblCellMar>
        </w:tblPrEx>
        <w:trPr>
          <w:trHeight w:val="589"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08E4ABE3">
            <w:pPr>
              <w:spacing w:line="360" w:lineRule="auto"/>
              <w:ind w:right="105" w:rightChars="50"/>
              <w:jc w:val="center"/>
              <w:rPr>
                <w:rFonts w:hint="default" w:ascii="宋体" w:eastAsia="宋体"/>
                <w:color w:val="auto"/>
                <w:sz w:val="24"/>
                <w:szCs w:val="24"/>
                <w:highlight w:val="none"/>
                <w:lang w:val="en-US" w:eastAsia="zh-CN"/>
              </w:rPr>
            </w:pPr>
            <w:r>
              <w:rPr>
                <w:rFonts w:hint="eastAsia" w:ascii="宋体" w:hAnsi="宋体" w:cs="宋体"/>
                <w:color w:val="auto"/>
                <w:sz w:val="24"/>
                <w:szCs w:val="24"/>
                <w:highlight w:val="none"/>
                <w:lang w:val="en-US" w:eastAsia="zh-CN"/>
              </w:rPr>
              <w:t>3.0</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58295BA9">
            <w:pPr>
              <w:spacing w:line="360" w:lineRule="auto"/>
              <w:ind w:right="105" w:rightChars="50"/>
              <w:jc w:val="center"/>
              <w:rPr>
                <w:rFonts w:ascii="宋体"/>
                <w:color w:val="auto"/>
                <w:sz w:val="24"/>
                <w:szCs w:val="24"/>
                <w:highlight w:val="none"/>
              </w:rPr>
            </w:pPr>
            <w:r>
              <w:rPr>
                <w:rFonts w:hint="eastAsia" w:ascii="宋体" w:hAnsi="宋体" w:cs="宋体"/>
                <w:color w:val="auto"/>
                <w:sz w:val="24"/>
                <w:szCs w:val="24"/>
                <w:highlight w:val="none"/>
              </w:rPr>
              <w:t>评标委员会的</w:t>
            </w:r>
          </w:p>
          <w:p w14:paraId="618224F0">
            <w:pPr>
              <w:spacing w:line="360" w:lineRule="auto"/>
              <w:ind w:right="105" w:rightChars="50"/>
              <w:jc w:val="center"/>
              <w:rPr>
                <w:rFonts w:ascii="宋体"/>
                <w:color w:val="auto"/>
                <w:sz w:val="24"/>
                <w:szCs w:val="24"/>
                <w:highlight w:val="none"/>
              </w:rPr>
            </w:pPr>
            <w:r>
              <w:rPr>
                <w:rFonts w:hint="eastAsia" w:ascii="宋体" w:hAnsi="宋体" w:cs="宋体"/>
                <w:color w:val="auto"/>
                <w:sz w:val="24"/>
                <w:szCs w:val="24"/>
                <w:highlight w:val="none"/>
              </w:rPr>
              <w:t>组建</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69341379">
            <w:pPr>
              <w:spacing w:line="360" w:lineRule="auto"/>
              <w:ind w:right="105" w:rightChars="50"/>
              <w:rPr>
                <w:rFonts w:ascii="宋体" w:hAnsi="宋体" w:cs="宋体"/>
                <w:color w:val="auto"/>
                <w:sz w:val="24"/>
                <w:szCs w:val="24"/>
                <w:highlight w:val="none"/>
              </w:rPr>
            </w:pPr>
            <w:r>
              <w:rPr>
                <w:rFonts w:hint="eastAsia" w:ascii="宋体" w:hAnsi="宋体" w:cs="宋体"/>
                <w:color w:val="auto"/>
                <w:sz w:val="24"/>
                <w:szCs w:val="24"/>
                <w:highlight w:val="none"/>
              </w:rPr>
              <w:t>评标委员会构成：5人，</w:t>
            </w:r>
            <w:r>
              <w:rPr>
                <w:rFonts w:hint="eastAsia" w:ascii="宋体" w:hAnsi="宋体" w:cs="宋体"/>
                <w:color w:val="auto"/>
                <w:sz w:val="24"/>
                <w:szCs w:val="24"/>
                <w:highlight w:val="none"/>
                <w:lang w:val="en-US" w:eastAsia="zh-CN"/>
              </w:rPr>
              <w:t>采购人</w:t>
            </w:r>
            <w:r>
              <w:rPr>
                <w:rFonts w:hint="eastAsia" w:ascii="宋体" w:hAnsi="宋体" w:cs="宋体"/>
                <w:color w:val="auto"/>
                <w:sz w:val="24"/>
                <w:szCs w:val="24"/>
                <w:highlight w:val="none"/>
              </w:rPr>
              <w:t>代表1人，评审专家4人；</w:t>
            </w:r>
          </w:p>
          <w:p w14:paraId="2B2CBF40">
            <w:pPr>
              <w:spacing w:line="360" w:lineRule="auto"/>
              <w:ind w:right="105" w:rightChars="50"/>
              <w:rPr>
                <w:rFonts w:ascii="宋体"/>
                <w:color w:val="auto"/>
                <w:sz w:val="24"/>
                <w:szCs w:val="24"/>
                <w:highlight w:val="none"/>
              </w:rPr>
            </w:pPr>
            <w:r>
              <w:rPr>
                <w:rFonts w:hint="eastAsia" w:ascii="宋体" w:hAnsi="宋体" w:cs="宋体"/>
                <w:color w:val="auto"/>
                <w:sz w:val="24"/>
                <w:szCs w:val="24"/>
                <w:highlight w:val="none"/>
              </w:rPr>
              <w:t>评标专家确定方式：通过</w:t>
            </w:r>
            <w:r>
              <w:rPr>
                <w:rFonts w:hint="eastAsia" w:ascii="宋体" w:hAnsi="宋体" w:cs="宋体"/>
                <w:color w:val="auto"/>
                <w:sz w:val="24"/>
                <w:szCs w:val="24"/>
                <w:highlight w:val="none"/>
                <w:lang w:val="en-US" w:eastAsia="zh-CN"/>
              </w:rPr>
              <w:t>河南省政府采购网</w:t>
            </w:r>
            <w:r>
              <w:rPr>
                <w:rFonts w:hint="eastAsia" w:ascii="宋体" w:hAnsi="宋体" w:cs="宋体"/>
                <w:color w:val="auto"/>
                <w:sz w:val="24"/>
                <w:szCs w:val="24"/>
                <w:highlight w:val="none"/>
              </w:rPr>
              <w:t>随机抽取。</w:t>
            </w:r>
          </w:p>
        </w:tc>
      </w:tr>
      <w:tr w14:paraId="49174A39">
        <w:tblPrEx>
          <w:tblCellMar>
            <w:top w:w="0" w:type="dxa"/>
            <w:left w:w="0" w:type="dxa"/>
            <w:bottom w:w="0" w:type="dxa"/>
            <w:right w:w="0" w:type="dxa"/>
          </w:tblCellMar>
        </w:tblPrEx>
        <w:trPr>
          <w:trHeight w:val="589"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6898A0FA">
            <w:pPr>
              <w:spacing w:line="360" w:lineRule="auto"/>
              <w:ind w:right="105" w:rightChars="50"/>
              <w:jc w:val="center"/>
              <w:rPr>
                <w:rFonts w:hint="eastAsia" w:ascii="宋体" w:eastAsia="宋体"/>
                <w:color w:val="auto"/>
                <w:sz w:val="24"/>
                <w:szCs w:val="24"/>
                <w:highlight w:val="none"/>
                <w:lang w:eastAsia="zh-CN"/>
              </w:rPr>
            </w:pPr>
            <w:r>
              <w:rPr>
                <w:rFonts w:ascii="宋体" w:hAnsi="宋体" w:cs="宋体"/>
                <w:color w:val="auto"/>
                <w:sz w:val="24"/>
                <w:szCs w:val="24"/>
                <w:highlight w:val="none"/>
              </w:rPr>
              <w:t>3.</w:t>
            </w:r>
            <w:r>
              <w:rPr>
                <w:rFonts w:hint="eastAsia" w:ascii="宋体" w:hAnsi="宋体" w:cs="宋体"/>
                <w:color w:val="auto"/>
                <w:sz w:val="24"/>
                <w:szCs w:val="24"/>
                <w:highlight w:val="none"/>
                <w:lang w:val="en-US" w:eastAsia="zh-CN"/>
              </w:rPr>
              <w:t>1</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237CB166">
            <w:pPr>
              <w:jc w:val="center"/>
              <w:rPr>
                <w:rFonts w:hint="eastAsia" w:ascii="宋体"/>
                <w:color w:val="auto"/>
                <w:sz w:val="24"/>
                <w:szCs w:val="24"/>
                <w:highlight w:val="none"/>
              </w:rPr>
            </w:pPr>
            <w:r>
              <w:rPr>
                <w:rFonts w:hint="eastAsia" w:ascii="宋体" w:hAnsi="宋体" w:cs="宋体"/>
                <w:color w:val="auto"/>
                <w:sz w:val="24"/>
                <w:szCs w:val="24"/>
                <w:highlight w:val="none"/>
              </w:rPr>
              <w:t>是否授权评标委员会确定中标供应商</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70EFE8A7">
            <w:pPr>
              <w:spacing w:line="360" w:lineRule="auto"/>
              <w:ind w:right="105" w:rightChars="50"/>
              <w:rPr>
                <w:rFonts w:ascii="宋体"/>
                <w:color w:val="auto"/>
                <w:sz w:val="24"/>
                <w:szCs w:val="24"/>
                <w:highlight w:val="none"/>
              </w:rPr>
            </w:pPr>
            <w:r>
              <w:rPr>
                <w:rFonts w:hint="eastAsia" w:ascii="宋体" w:hAnsi="宋体" w:cs="_5b8b_4f53"/>
                <w:color w:val="auto"/>
                <w:sz w:val="24"/>
                <w:szCs w:val="24"/>
                <w:highlight w:val="none"/>
              </w:rPr>
              <w:t>否，评标委员会原则上推荐3名中标候选人并排序；</w:t>
            </w:r>
          </w:p>
        </w:tc>
      </w:tr>
      <w:tr w14:paraId="6F33D668">
        <w:tblPrEx>
          <w:tblCellMar>
            <w:top w:w="0" w:type="dxa"/>
            <w:left w:w="0" w:type="dxa"/>
            <w:bottom w:w="0" w:type="dxa"/>
            <w:right w:w="0" w:type="dxa"/>
          </w:tblCellMar>
        </w:tblPrEx>
        <w:trPr>
          <w:trHeight w:val="338"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7CAC9559">
            <w:pPr>
              <w:spacing w:line="360" w:lineRule="auto"/>
              <w:ind w:right="105" w:rightChars="50"/>
              <w:jc w:val="center"/>
              <w:rPr>
                <w:rFonts w:hint="eastAsia" w:ascii="宋体" w:eastAsia="宋体"/>
                <w:color w:val="auto"/>
                <w:sz w:val="24"/>
                <w:szCs w:val="24"/>
                <w:highlight w:val="none"/>
                <w:lang w:eastAsia="zh-CN"/>
              </w:rPr>
            </w:pPr>
            <w:r>
              <w:rPr>
                <w:rFonts w:ascii="宋体" w:hAnsi="宋体" w:cs="宋体"/>
                <w:color w:val="auto"/>
                <w:sz w:val="24"/>
                <w:szCs w:val="24"/>
                <w:highlight w:val="none"/>
              </w:rPr>
              <w:t>3.</w:t>
            </w:r>
            <w:r>
              <w:rPr>
                <w:rFonts w:hint="eastAsia" w:ascii="宋体" w:hAnsi="宋体" w:cs="宋体"/>
                <w:color w:val="auto"/>
                <w:sz w:val="24"/>
                <w:szCs w:val="24"/>
                <w:highlight w:val="none"/>
                <w:lang w:val="en-US" w:eastAsia="zh-CN"/>
              </w:rPr>
              <w:t>2</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5F1A2250">
            <w:pPr>
              <w:spacing w:line="360" w:lineRule="auto"/>
              <w:ind w:right="105" w:rightChars="50"/>
              <w:jc w:val="center"/>
              <w:rPr>
                <w:rFonts w:ascii="宋体"/>
                <w:color w:val="auto"/>
                <w:sz w:val="24"/>
                <w:szCs w:val="24"/>
                <w:highlight w:val="none"/>
              </w:rPr>
            </w:pPr>
            <w:r>
              <w:rPr>
                <w:rFonts w:hint="eastAsia" w:ascii="宋体" w:hAnsi="宋体" w:cs="宋体"/>
                <w:color w:val="auto"/>
                <w:sz w:val="24"/>
                <w:szCs w:val="24"/>
                <w:highlight w:val="none"/>
              </w:rPr>
              <w:t>付款方式</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5BA4F69D">
            <w:pPr>
              <w:spacing w:line="360" w:lineRule="auto"/>
              <w:ind w:right="105" w:rightChars="50"/>
              <w:rPr>
                <w:rFonts w:hint="default" w:ascii="宋体" w:eastAsia="宋体"/>
                <w:color w:val="auto"/>
                <w:sz w:val="24"/>
                <w:szCs w:val="24"/>
                <w:highlight w:val="none"/>
                <w:lang w:val="en-US" w:eastAsia="zh-CN"/>
              </w:rPr>
            </w:pPr>
            <w:r>
              <w:rPr>
                <w:rFonts w:hint="eastAsia" w:ascii="宋体" w:eastAsia="宋体"/>
                <w:color w:val="auto"/>
                <w:sz w:val="24"/>
                <w:szCs w:val="24"/>
                <w:highlight w:val="none"/>
                <w:lang w:val="en-US" w:eastAsia="zh-CN"/>
              </w:rPr>
              <w:t>双方自行协商</w:t>
            </w:r>
          </w:p>
        </w:tc>
      </w:tr>
      <w:tr w14:paraId="4C384AB7">
        <w:tblPrEx>
          <w:tblCellMar>
            <w:top w:w="0" w:type="dxa"/>
            <w:left w:w="0" w:type="dxa"/>
            <w:bottom w:w="0" w:type="dxa"/>
            <w:right w:w="0" w:type="dxa"/>
          </w:tblCellMar>
        </w:tblPrEx>
        <w:trPr>
          <w:trHeight w:val="548"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49C691CB">
            <w:pPr>
              <w:spacing w:line="360" w:lineRule="auto"/>
              <w:ind w:right="105" w:rightChars="50"/>
              <w:jc w:val="center"/>
              <w:rPr>
                <w:rFonts w:hint="eastAsia" w:ascii="宋体" w:eastAsia="宋体"/>
                <w:color w:val="auto"/>
                <w:sz w:val="24"/>
                <w:szCs w:val="24"/>
                <w:highlight w:val="none"/>
                <w:lang w:eastAsia="zh-CN"/>
              </w:rPr>
            </w:pPr>
            <w:r>
              <w:rPr>
                <w:rFonts w:ascii="宋体" w:hAnsi="宋体" w:cs="宋体"/>
                <w:color w:val="auto"/>
                <w:sz w:val="24"/>
                <w:szCs w:val="24"/>
                <w:highlight w:val="none"/>
              </w:rPr>
              <w:t>3.</w:t>
            </w:r>
            <w:r>
              <w:rPr>
                <w:rFonts w:hint="eastAsia" w:ascii="宋体" w:hAnsi="宋体" w:cs="宋体"/>
                <w:color w:val="auto"/>
                <w:sz w:val="24"/>
                <w:szCs w:val="24"/>
                <w:highlight w:val="none"/>
                <w:lang w:val="en-US" w:eastAsia="zh-CN"/>
              </w:rPr>
              <w:t>3</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1D94F683">
            <w:pPr>
              <w:spacing w:line="360" w:lineRule="auto"/>
              <w:ind w:right="105" w:rightChars="50"/>
              <w:jc w:val="center"/>
              <w:rPr>
                <w:rFonts w:ascii="宋体"/>
                <w:color w:val="auto"/>
                <w:sz w:val="24"/>
                <w:szCs w:val="24"/>
                <w:highlight w:val="none"/>
              </w:rPr>
            </w:pPr>
            <w:r>
              <w:rPr>
                <w:rFonts w:hint="eastAsia" w:ascii="宋体" w:hAnsi="宋体" w:cs="宋体"/>
                <w:color w:val="auto"/>
                <w:sz w:val="24"/>
                <w:szCs w:val="24"/>
                <w:highlight w:val="none"/>
              </w:rPr>
              <w:t>履约保证金</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22FD9DDB">
            <w:pPr>
              <w:spacing w:line="360" w:lineRule="auto"/>
              <w:ind w:right="105" w:rightChars="50"/>
              <w:rPr>
                <w:rFonts w:hint="default" w:ascii="宋体" w:eastAsia="宋体"/>
                <w:color w:val="auto"/>
                <w:sz w:val="24"/>
                <w:szCs w:val="24"/>
                <w:highlight w:val="none"/>
                <w:lang w:val="en-US" w:eastAsia="zh-CN"/>
              </w:rPr>
            </w:pPr>
            <w:r>
              <w:rPr>
                <w:rFonts w:hint="eastAsia" w:ascii="宋体" w:hAnsi="宋体" w:cs="宋体"/>
                <w:color w:val="auto"/>
                <w:sz w:val="24"/>
                <w:szCs w:val="24"/>
                <w:highlight w:val="none"/>
                <w:lang w:val="en-US" w:eastAsia="zh-CN"/>
              </w:rPr>
              <w:t>本项目不收取履约保证金</w:t>
            </w:r>
          </w:p>
        </w:tc>
      </w:tr>
      <w:tr w14:paraId="50B2606A">
        <w:tblPrEx>
          <w:tblCellMar>
            <w:top w:w="0" w:type="dxa"/>
            <w:left w:w="0" w:type="dxa"/>
            <w:bottom w:w="0" w:type="dxa"/>
            <w:right w:w="0" w:type="dxa"/>
          </w:tblCellMar>
        </w:tblPrEx>
        <w:trPr>
          <w:trHeight w:val="552"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7D67271A">
            <w:pPr>
              <w:spacing w:line="360" w:lineRule="auto"/>
              <w:ind w:right="105" w:rightChars="50"/>
              <w:jc w:val="center"/>
              <w:rPr>
                <w:rFonts w:hint="eastAsia" w:ascii="宋体" w:eastAsia="宋体"/>
                <w:color w:val="auto"/>
                <w:sz w:val="24"/>
                <w:szCs w:val="24"/>
                <w:highlight w:val="none"/>
                <w:lang w:eastAsia="zh-CN"/>
              </w:rPr>
            </w:pPr>
            <w:r>
              <w:rPr>
                <w:rFonts w:ascii="宋体" w:hAnsi="宋体" w:cs="宋体"/>
                <w:color w:val="auto"/>
                <w:sz w:val="24"/>
                <w:szCs w:val="24"/>
                <w:highlight w:val="none"/>
              </w:rPr>
              <w:t>3.</w:t>
            </w:r>
            <w:r>
              <w:rPr>
                <w:rFonts w:hint="eastAsia" w:ascii="宋体" w:hAnsi="宋体" w:cs="宋体"/>
                <w:color w:val="auto"/>
                <w:sz w:val="24"/>
                <w:szCs w:val="24"/>
                <w:highlight w:val="none"/>
                <w:lang w:val="en-US" w:eastAsia="zh-CN"/>
              </w:rPr>
              <w:t>4</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46030253">
            <w:pPr>
              <w:spacing w:line="360" w:lineRule="auto"/>
              <w:ind w:right="105" w:rightChars="50"/>
              <w:jc w:val="center"/>
              <w:rPr>
                <w:rFonts w:ascii="宋体"/>
                <w:color w:val="auto"/>
                <w:sz w:val="24"/>
                <w:szCs w:val="24"/>
                <w:highlight w:val="none"/>
              </w:rPr>
            </w:pPr>
            <w:r>
              <w:rPr>
                <w:rFonts w:hint="eastAsia" w:ascii="宋体" w:hAnsi="宋体" w:cs="宋体"/>
                <w:color w:val="auto"/>
                <w:sz w:val="24"/>
                <w:szCs w:val="24"/>
                <w:highlight w:val="none"/>
              </w:rPr>
              <w:t>代理费</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36D046B0">
            <w:pPr>
              <w:spacing w:line="360" w:lineRule="auto"/>
              <w:ind w:right="105" w:rightChars="50"/>
              <w:rPr>
                <w:rFonts w:hint="default" w:ascii="宋体" w:eastAsia="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本项目采购代理服务费按照《河南省招标代理服务收费指导意见（豫招协【2023】002号）》进行计取。由中标人支付。</w:t>
            </w:r>
          </w:p>
        </w:tc>
      </w:tr>
      <w:tr w14:paraId="5BCD3B4D">
        <w:tblPrEx>
          <w:tblCellMar>
            <w:top w:w="0" w:type="dxa"/>
            <w:left w:w="0" w:type="dxa"/>
            <w:bottom w:w="0" w:type="dxa"/>
            <w:right w:w="0" w:type="dxa"/>
          </w:tblCellMar>
        </w:tblPrEx>
        <w:trPr>
          <w:trHeight w:val="476"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38A1C5F6">
            <w:pPr>
              <w:spacing w:line="360" w:lineRule="auto"/>
              <w:ind w:right="105" w:rightChars="50"/>
              <w:jc w:val="center"/>
              <w:rPr>
                <w:rFonts w:hint="eastAsia" w:ascii="宋体" w:eastAsia="宋体"/>
                <w:color w:val="auto"/>
                <w:sz w:val="24"/>
                <w:szCs w:val="24"/>
                <w:highlight w:val="none"/>
                <w:lang w:eastAsia="zh-CN"/>
              </w:rPr>
            </w:pPr>
            <w:r>
              <w:rPr>
                <w:rFonts w:hint="eastAsia" w:ascii="宋体" w:hAnsi="宋体" w:cs="宋体"/>
                <w:color w:val="auto"/>
                <w:sz w:val="24"/>
                <w:szCs w:val="24"/>
                <w:highlight w:val="none"/>
              </w:rPr>
              <w:t>3.</w:t>
            </w:r>
            <w:r>
              <w:rPr>
                <w:rFonts w:hint="eastAsia" w:ascii="宋体" w:hAnsi="宋体" w:cs="宋体"/>
                <w:color w:val="auto"/>
                <w:sz w:val="24"/>
                <w:szCs w:val="24"/>
                <w:highlight w:val="none"/>
                <w:lang w:val="en-US" w:eastAsia="zh-CN"/>
              </w:rPr>
              <w:t>5</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6602BE6F">
            <w:pPr>
              <w:spacing w:line="360" w:lineRule="auto"/>
              <w:ind w:right="105" w:rightChars="50"/>
              <w:jc w:val="center"/>
              <w:rPr>
                <w:rFonts w:ascii="宋体"/>
                <w:color w:val="auto"/>
                <w:sz w:val="24"/>
                <w:szCs w:val="24"/>
                <w:highlight w:val="none"/>
              </w:rPr>
            </w:pPr>
            <w:r>
              <w:rPr>
                <w:rFonts w:hint="eastAsia" w:ascii="宋体" w:hAnsi="宋体" w:cs="宋体"/>
                <w:color w:val="auto"/>
                <w:sz w:val="24"/>
                <w:szCs w:val="24"/>
                <w:highlight w:val="none"/>
              </w:rPr>
              <w:t>采购预算价</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5A2A3F2B">
            <w:pPr>
              <w:spacing w:line="360" w:lineRule="auto"/>
              <w:rPr>
                <w:rFonts w:ascii="宋体" w:cs="_5b8b_4f53"/>
                <w:color w:val="auto"/>
                <w:sz w:val="24"/>
                <w:szCs w:val="24"/>
                <w:highlight w:val="none"/>
              </w:rPr>
            </w:pPr>
            <w:r>
              <w:rPr>
                <w:rFonts w:hint="eastAsia" w:ascii="宋体" w:hAnsi="宋体" w:cs="宋体"/>
                <w:color w:val="auto"/>
                <w:sz w:val="24"/>
                <w:szCs w:val="24"/>
                <w:highlight w:val="none"/>
              </w:rPr>
              <w:t>本项目采购预算金额：</w:t>
            </w:r>
            <w:r>
              <w:rPr>
                <w:rFonts w:hint="eastAsia" w:ascii="宋体" w:hAnsi="宋体" w:cs="宋体"/>
                <w:color w:val="auto"/>
                <w:sz w:val="24"/>
                <w:szCs w:val="24"/>
                <w:highlight w:val="none"/>
                <w:lang w:val="en-US" w:eastAsia="zh-CN"/>
              </w:rPr>
              <w:t>叁佰玖拾陆万柒仟捌佰元整</w:t>
            </w:r>
            <w:r>
              <w:rPr>
                <w:rFonts w:hint="eastAsia" w:ascii="宋体" w:hAnsi="宋体" w:cs="宋体"/>
                <w:color w:val="auto"/>
                <w:sz w:val="24"/>
                <w:szCs w:val="24"/>
                <w:highlight w:val="none"/>
              </w:rPr>
              <w:t>（</w:t>
            </w:r>
            <w:r>
              <w:rPr>
                <w:rFonts w:ascii="宋体" w:hAnsi="宋体" w:cs="宋体"/>
                <w:color w:val="auto"/>
                <w:sz w:val="24"/>
                <w:szCs w:val="24"/>
                <w:highlight w:val="none"/>
              </w:rPr>
              <w:t>¥</w:t>
            </w:r>
            <w:r>
              <w:rPr>
                <w:rFonts w:hint="eastAsia" w:ascii="宋体" w:hAnsi="宋体" w:cs="宋体"/>
                <w:color w:val="auto"/>
                <w:sz w:val="24"/>
                <w:szCs w:val="24"/>
                <w:highlight w:val="none"/>
                <w:lang w:val="en-US" w:eastAsia="zh-CN"/>
              </w:rPr>
              <w:t>3967800.00</w:t>
            </w:r>
            <w:r>
              <w:rPr>
                <w:rFonts w:hint="eastAsia" w:ascii="宋体" w:hAnsi="宋体" w:cs="宋体"/>
                <w:color w:val="auto"/>
                <w:sz w:val="24"/>
                <w:szCs w:val="24"/>
                <w:highlight w:val="none"/>
              </w:rPr>
              <w:t>元）。凡投标供应商投标报价超出“采购预算价”的，该投标供应商的投标文件应作无效标处理。</w:t>
            </w:r>
          </w:p>
        </w:tc>
      </w:tr>
      <w:tr w14:paraId="7881CCC6">
        <w:tblPrEx>
          <w:tblCellMar>
            <w:top w:w="0" w:type="dxa"/>
            <w:left w:w="0" w:type="dxa"/>
            <w:bottom w:w="0" w:type="dxa"/>
            <w:right w:w="0" w:type="dxa"/>
          </w:tblCellMar>
        </w:tblPrEx>
        <w:trPr>
          <w:trHeight w:val="476"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1E1D784C">
            <w:pPr>
              <w:spacing w:line="360" w:lineRule="auto"/>
              <w:ind w:right="105" w:rightChars="5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3.6</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63963BF1">
            <w:pPr>
              <w:spacing w:line="360" w:lineRule="auto"/>
              <w:ind w:right="105" w:rightChars="5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其他</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0CD77C0C">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1、资格评（预）审部分：资格评（预）</w:t>
            </w:r>
            <w:r>
              <w:rPr>
                <w:rFonts w:hint="eastAsia" w:ascii="宋体" w:hAnsi="宋体" w:eastAsia="宋体" w:cs="宋体"/>
                <w:color w:val="auto"/>
                <w:sz w:val="24"/>
                <w:szCs w:val="24"/>
                <w:highlight w:val="none"/>
                <w:lang w:val="en-US" w:eastAsia="zh-CN"/>
              </w:rPr>
              <w:t>审</w:t>
            </w:r>
            <w:r>
              <w:rPr>
                <w:rFonts w:hint="eastAsia" w:ascii="宋体" w:hAnsi="宋体" w:eastAsia="宋体" w:cs="宋体"/>
                <w:color w:val="auto"/>
                <w:sz w:val="24"/>
                <w:szCs w:val="24"/>
                <w:highlight w:val="none"/>
              </w:rPr>
              <w:t>以</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文件为准，其上传资料真实性由</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自行承担。同时，</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应在开标前自行完善主体库信息。</w:t>
            </w:r>
          </w:p>
          <w:p w14:paraId="2776DAAB">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评标打分部分：评标打分部分按照100分制原则进行，涉及到资格审查、企业荣誉、人员业绩、企业业绩等计分部分时，以</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单位自行上传到</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文件中的各类相应内容为准。</w:t>
            </w:r>
          </w:p>
          <w:p w14:paraId="044EB9C6">
            <w:pPr>
              <w:spacing w:line="360" w:lineRule="auto"/>
              <w:ind w:right="105" w:rightChars="50"/>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3、投标</w:t>
            </w:r>
            <w:r>
              <w:rPr>
                <w:rFonts w:hint="eastAsia" w:ascii="宋体" w:hAnsi="宋体" w:eastAsia="宋体" w:cs="宋体"/>
                <w:color w:val="auto"/>
                <w:sz w:val="24"/>
                <w:szCs w:val="24"/>
                <w:highlight w:val="none"/>
              </w:rPr>
              <w:t>文件编制部分：在招标文件中要求</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人按照</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文件格式进行</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文件编制，在</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文件编制时，应明确将</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单位企业基本情况、资质情况、人员情况、财务情况、业绩情况编入</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文件，便于进行资格审查及评标打分。</w:t>
            </w:r>
          </w:p>
          <w:p w14:paraId="4E449EA3">
            <w:pPr>
              <w:spacing w:line="360" w:lineRule="auto"/>
              <w:ind w:right="105" w:rightChars="5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4、供应商在中标后可以持政府采购合同向融资机构申请贷款，供应商可在河南省政府采购网“河南省政府采购合同融资平台”获取融资渠道和方式。</w:t>
            </w:r>
          </w:p>
        </w:tc>
      </w:tr>
      <w:tr w14:paraId="0E5992D8">
        <w:tblPrEx>
          <w:tblCellMar>
            <w:top w:w="0" w:type="dxa"/>
            <w:left w:w="0" w:type="dxa"/>
            <w:bottom w:w="0" w:type="dxa"/>
            <w:right w:w="0" w:type="dxa"/>
          </w:tblCellMar>
        </w:tblPrEx>
        <w:trPr>
          <w:trHeight w:val="357" w:hRule="atLeast"/>
          <w:jc w:val="center"/>
        </w:trPr>
        <w:tc>
          <w:tcPr>
            <w:tcW w:w="1144"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09B190B4">
            <w:pPr>
              <w:spacing w:line="360" w:lineRule="auto"/>
              <w:ind w:right="105" w:rightChars="50"/>
              <w:jc w:val="center"/>
              <w:rPr>
                <w:rFonts w:hint="eastAsia" w:ascii="宋体" w:eastAsia="宋体"/>
                <w:color w:val="auto"/>
                <w:sz w:val="24"/>
                <w:szCs w:val="24"/>
                <w:highlight w:val="none"/>
                <w:lang w:eastAsia="zh-CN"/>
              </w:rPr>
            </w:pPr>
            <w:r>
              <w:rPr>
                <w:rFonts w:hint="eastAsia" w:ascii="宋体" w:hAnsi="宋体" w:cs="宋体"/>
                <w:color w:val="auto"/>
                <w:sz w:val="24"/>
                <w:szCs w:val="24"/>
                <w:highlight w:val="none"/>
              </w:rPr>
              <w:t>3.</w:t>
            </w:r>
            <w:r>
              <w:rPr>
                <w:rFonts w:hint="eastAsia" w:ascii="宋体" w:hAnsi="宋体" w:cs="宋体"/>
                <w:color w:val="auto"/>
                <w:sz w:val="24"/>
                <w:szCs w:val="24"/>
                <w:highlight w:val="none"/>
                <w:lang w:val="en-US" w:eastAsia="zh-CN"/>
              </w:rPr>
              <w:t>7</w:t>
            </w:r>
          </w:p>
        </w:tc>
        <w:tc>
          <w:tcPr>
            <w:tcW w:w="2055"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752136DD">
            <w:pPr>
              <w:spacing w:line="360" w:lineRule="auto"/>
              <w:ind w:right="105" w:rightChars="50" w:firstLine="240" w:firstLineChars="100"/>
              <w:rPr>
                <w:rFonts w:ascii="宋体"/>
                <w:color w:val="auto"/>
                <w:sz w:val="24"/>
                <w:szCs w:val="24"/>
                <w:highlight w:val="none"/>
              </w:rPr>
            </w:pPr>
            <w:r>
              <w:rPr>
                <w:rFonts w:hint="eastAsia" w:ascii="宋体" w:hAnsi="宋体" w:cs="宋体"/>
                <w:color w:val="auto"/>
                <w:sz w:val="24"/>
                <w:szCs w:val="24"/>
                <w:highlight w:val="none"/>
              </w:rPr>
              <w:t>电子化交易</w:t>
            </w:r>
          </w:p>
          <w:p w14:paraId="6EFE5EF5">
            <w:pPr>
              <w:spacing w:line="360" w:lineRule="auto"/>
              <w:ind w:right="105" w:rightChars="50"/>
              <w:jc w:val="center"/>
              <w:rPr>
                <w:rFonts w:ascii="宋体"/>
                <w:color w:val="auto"/>
                <w:sz w:val="24"/>
                <w:szCs w:val="24"/>
                <w:highlight w:val="none"/>
              </w:rPr>
            </w:pPr>
            <w:r>
              <w:rPr>
                <w:rFonts w:hint="eastAsia" w:ascii="宋体" w:hAnsi="宋体" w:cs="宋体"/>
                <w:color w:val="auto"/>
                <w:sz w:val="24"/>
                <w:szCs w:val="24"/>
                <w:highlight w:val="none"/>
              </w:rPr>
              <w:t>注意事项</w:t>
            </w:r>
          </w:p>
        </w:tc>
        <w:tc>
          <w:tcPr>
            <w:tcW w:w="6602"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4334A16F">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本项目为电子化、无纸化交易项目，投标文件是投标人、供应商（以下简称“投标人”）通过</w:t>
            </w:r>
            <w:r>
              <w:rPr>
                <w:rFonts w:hint="eastAsia" w:ascii="宋体" w:hAnsi="宋体"/>
                <w:b/>
                <w:color w:val="auto"/>
                <w:sz w:val="24"/>
                <w:szCs w:val="24"/>
                <w:highlight w:val="none"/>
              </w:rPr>
              <w:t>中心投标文件制作系统制作，并经过电子签章和加密后生成的电子版投标文件。投标人投标时，将不再接</w:t>
            </w:r>
            <w:r>
              <w:rPr>
                <w:rFonts w:hint="eastAsia" w:ascii="宋体" w:hAnsi="宋体" w:cs="宋体"/>
                <w:b/>
                <w:color w:val="auto"/>
                <w:sz w:val="24"/>
                <w:szCs w:val="24"/>
                <w:highlight w:val="none"/>
              </w:rPr>
              <w:t>受任何纸质文件资料。</w:t>
            </w:r>
          </w:p>
          <w:p w14:paraId="37A2F836">
            <w:pPr>
              <w:spacing w:line="360" w:lineRule="auto"/>
              <w:ind w:firstLine="600" w:firstLineChars="249"/>
              <w:rPr>
                <w:rFonts w:ascii="宋体" w:hAnsi="宋体"/>
                <w:b/>
                <w:color w:val="auto"/>
                <w:sz w:val="24"/>
                <w:szCs w:val="24"/>
                <w:highlight w:val="none"/>
              </w:rPr>
            </w:pPr>
            <w:r>
              <w:rPr>
                <w:rFonts w:hint="eastAsia" w:ascii="宋体" w:hAnsi="宋体"/>
                <w:b/>
                <w:color w:val="auto"/>
                <w:sz w:val="24"/>
                <w:szCs w:val="24"/>
                <w:highlight w:val="none"/>
              </w:rPr>
              <w:t>电子化投标文件工具请在三门峡市公共资源交易中心网首页“帮助中心”下载。</w:t>
            </w:r>
          </w:p>
          <w:p w14:paraId="48C0C058">
            <w:pPr>
              <w:spacing w:line="360" w:lineRule="auto"/>
              <w:ind w:firstLine="573"/>
              <w:rPr>
                <w:rFonts w:ascii="宋体" w:hAnsi="宋体"/>
                <w:color w:val="auto"/>
                <w:sz w:val="24"/>
                <w:szCs w:val="24"/>
                <w:highlight w:val="none"/>
              </w:rPr>
            </w:pPr>
            <w:r>
              <w:rPr>
                <w:rFonts w:hint="eastAsia" w:ascii="宋体" w:hAnsi="宋体" w:cs="宋体"/>
                <w:b/>
                <w:color w:val="auto"/>
                <w:sz w:val="24"/>
                <w:szCs w:val="24"/>
                <w:highlight w:val="none"/>
              </w:rPr>
              <w:t>温馨提示：本项目为电子化、无纸化交易项目，开标时不接受任何纸质资料，为保证您能投标成功，请需仔细阅读以下条款。</w:t>
            </w:r>
          </w:p>
          <w:p w14:paraId="648DE273">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一、电子化投标</w:t>
            </w:r>
          </w:p>
          <w:p w14:paraId="7870289A">
            <w:pPr>
              <w:spacing w:line="360" w:lineRule="auto"/>
              <w:rPr>
                <w:rFonts w:ascii="宋体" w:hAnsi="宋体"/>
                <w:color w:val="auto"/>
                <w:sz w:val="24"/>
                <w:szCs w:val="24"/>
                <w:highlight w:val="none"/>
              </w:rPr>
            </w:pPr>
            <w:r>
              <w:rPr>
                <w:rFonts w:hint="eastAsia" w:ascii="宋体" w:hAnsi="宋体"/>
                <w:color w:val="auto"/>
                <w:sz w:val="24"/>
                <w:szCs w:val="24"/>
                <w:highlight w:val="none"/>
              </w:rPr>
              <w:t>（一）电子化投标文件的签章</w:t>
            </w:r>
          </w:p>
          <w:p w14:paraId="52484B2C">
            <w:pPr>
              <w:spacing w:line="360" w:lineRule="auto"/>
              <w:rPr>
                <w:rFonts w:ascii="宋体" w:hAnsi="宋体"/>
                <w:color w:val="auto"/>
                <w:sz w:val="24"/>
                <w:szCs w:val="24"/>
                <w:highlight w:val="none"/>
              </w:rPr>
            </w:pPr>
            <w:r>
              <w:rPr>
                <w:rFonts w:hint="eastAsia" w:ascii="宋体" w:hAnsi="宋体"/>
                <w:color w:val="auto"/>
                <w:sz w:val="24"/>
                <w:szCs w:val="24"/>
                <w:highlight w:val="none"/>
              </w:rPr>
              <w:t>1、投标人在生成电子化投标文件后，应对电子化投标文件进行签章，未进行签章的视为无效投标。</w:t>
            </w:r>
          </w:p>
          <w:p w14:paraId="63CDF39E">
            <w:pPr>
              <w:spacing w:line="360" w:lineRule="auto"/>
              <w:rPr>
                <w:rFonts w:ascii="宋体" w:hAnsi="宋体"/>
                <w:color w:val="auto"/>
                <w:sz w:val="24"/>
                <w:szCs w:val="24"/>
                <w:highlight w:val="none"/>
              </w:rPr>
            </w:pPr>
            <w:r>
              <w:rPr>
                <w:rFonts w:hint="eastAsia" w:ascii="宋体" w:hAnsi="宋体"/>
                <w:color w:val="auto"/>
                <w:sz w:val="24"/>
                <w:szCs w:val="24"/>
                <w:highlight w:val="none"/>
              </w:rPr>
              <w:t>2、投标文件中要求</w:t>
            </w:r>
            <w:r>
              <w:rPr>
                <w:rFonts w:hint="eastAsia" w:ascii="宋体" w:hAnsi="宋体"/>
                <w:b/>
                <w:color w:val="auto"/>
                <w:sz w:val="24"/>
                <w:szCs w:val="24"/>
                <w:highlight w:val="none"/>
              </w:rPr>
              <w:t>法定代表人或授权委托人盖章的，</w:t>
            </w:r>
            <w:r>
              <w:rPr>
                <w:rFonts w:hint="eastAsia" w:ascii="宋体" w:hAnsi="宋体"/>
                <w:color w:val="auto"/>
                <w:sz w:val="24"/>
                <w:szCs w:val="24"/>
                <w:highlight w:val="none"/>
              </w:rPr>
              <w:t>投标人在进行</w:t>
            </w:r>
            <w:r>
              <w:rPr>
                <w:rFonts w:hint="eastAsia" w:ascii="宋体" w:hAnsi="宋体"/>
                <w:b/>
                <w:color w:val="auto"/>
                <w:sz w:val="24"/>
                <w:szCs w:val="24"/>
                <w:highlight w:val="none"/>
              </w:rPr>
              <w:t>电子化投标文件签章时，以签盖法定代表人签章为准。</w:t>
            </w:r>
            <w:r>
              <w:rPr>
                <w:rFonts w:hint="eastAsia" w:ascii="宋体" w:hAnsi="宋体"/>
                <w:color w:val="auto"/>
                <w:sz w:val="24"/>
                <w:szCs w:val="24"/>
                <w:highlight w:val="none"/>
              </w:rPr>
              <w:t>电子化投标文件具体制作教材请投标人通过CA证书登录三门峡市公共资源电子化交易系统在右上角“交易智库”中查看。</w:t>
            </w:r>
            <w:r>
              <w:rPr>
                <w:rFonts w:hint="eastAsia" w:ascii="宋体" w:hAnsi="宋体" w:cs="宋体"/>
                <w:color w:val="auto"/>
                <w:sz w:val="24"/>
                <w:szCs w:val="24"/>
                <w:highlight w:val="none"/>
              </w:rPr>
              <w:t>电子化投标文件工具请在三门峡市公共资源交易中心网首页“帮助中心”下载。</w:t>
            </w:r>
          </w:p>
          <w:p w14:paraId="31E1A3F1">
            <w:pPr>
              <w:spacing w:line="360" w:lineRule="auto"/>
              <w:rPr>
                <w:rFonts w:ascii="宋体" w:hAnsi="宋体"/>
                <w:b/>
                <w:color w:val="auto"/>
                <w:sz w:val="24"/>
                <w:szCs w:val="24"/>
                <w:highlight w:val="none"/>
              </w:rPr>
            </w:pPr>
            <w:r>
              <w:rPr>
                <w:rFonts w:hint="eastAsia" w:ascii="宋体" w:hAnsi="宋体"/>
                <w:color w:val="auto"/>
                <w:sz w:val="24"/>
                <w:szCs w:val="24"/>
                <w:highlight w:val="none"/>
              </w:rPr>
              <w:t>（二）电子化投标文件的格式及上传投标</w:t>
            </w:r>
          </w:p>
          <w:p w14:paraId="29ED6AFB">
            <w:pPr>
              <w:wordWrap w:val="0"/>
              <w:spacing w:line="360" w:lineRule="auto"/>
              <w:rPr>
                <w:rFonts w:ascii="宋体" w:hAnsi="宋体"/>
                <w:color w:val="auto"/>
                <w:sz w:val="24"/>
                <w:szCs w:val="24"/>
                <w:highlight w:val="none"/>
              </w:rPr>
            </w:pPr>
            <w:r>
              <w:rPr>
                <w:rFonts w:hint="eastAsia" w:ascii="宋体" w:hAnsi="宋体"/>
                <w:color w:val="auto"/>
                <w:sz w:val="24"/>
                <w:szCs w:val="24"/>
                <w:highlight w:val="none"/>
              </w:rPr>
              <w:t>1、投标人所上传的电子化投标文件，应是通过中心投标文件制作系统制作的，经过签章和加密后生成的电子版投标文件。生成的电子版投标文件包含用于投标文件上传的主文件（后缀为.smxtf）和用于应急补救的投标文件备份文件（后缀为.nsmxtf），备份文件主要用于电子化开标出现技术问题后的补救，请投标人随身携带。</w:t>
            </w:r>
          </w:p>
          <w:p w14:paraId="359FF983">
            <w:pPr>
              <w:spacing w:line="360" w:lineRule="auto"/>
              <w:rPr>
                <w:rFonts w:ascii="宋体" w:hAnsi="宋体"/>
                <w:color w:val="auto"/>
                <w:sz w:val="24"/>
                <w:szCs w:val="24"/>
                <w:highlight w:val="none"/>
              </w:rPr>
            </w:pPr>
            <w:r>
              <w:rPr>
                <w:rFonts w:hint="eastAsia" w:ascii="宋体" w:hAnsi="宋体"/>
                <w:color w:val="auto"/>
                <w:sz w:val="24"/>
                <w:szCs w:val="24"/>
                <w:highlight w:val="none"/>
              </w:rPr>
              <w:t>注：投标人投报多个标段的，需要每个标段单独制作电子投标文件。</w:t>
            </w:r>
          </w:p>
          <w:p w14:paraId="4FA48603">
            <w:pPr>
              <w:spacing w:line="360" w:lineRule="auto"/>
              <w:rPr>
                <w:rFonts w:ascii="宋体" w:hAnsi="宋体"/>
                <w:color w:val="auto"/>
                <w:sz w:val="24"/>
                <w:szCs w:val="24"/>
                <w:highlight w:val="none"/>
              </w:rPr>
            </w:pPr>
            <w:r>
              <w:rPr>
                <w:rFonts w:hint="eastAsia" w:ascii="宋体" w:hAnsi="宋体"/>
                <w:color w:val="auto"/>
                <w:sz w:val="24"/>
                <w:szCs w:val="24"/>
                <w:highlight w:val="none"/>
              </w:rPr>
              <w:t>2、电子化投标文件应在投标截止时间前成功上传至三门峡市公共资源电子化交易系统。至投标截止时间止，仍未上传成功的电子化投标文件将不予接收。</w:t>
            </w:r>
          </w:p>
          <w:p w14:paraId="40A24B6D">
            <w:pPr>
              <w:spacing w:line="360" w:lineRule="auto"/>
              <w:rPr>
                <w:rFonts w:ascii="宋体" w:hAnsi="宋体" w:cs="宋体"/>
                <w:color w:val="auto"/>
                <w:sz w:val="24"/>
                <w:szCs w:val="24"/>
                <w:highlight w:val="none"/>
              </w:rPr>
            </w:pPr>
            <w:r>
              <w:rPr>
                <w:rFonts w:hint="eastAsia" w:ascii="宋体" w:hAnsi="宋体"/>
                <w:color w:val="auto"/>
                <w:sz w:val="24"/>
                <w:szCs w:val="24"/>
                <w:highlight w:val="none"/>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r>
              <w:rPr>
                <w:rFonts w:hint="eastAsia" w:ascii="宋体" w:hAnsi="宋体" w:cs="宋体"/>
                <w:color w:val="auto"/>
                <w:sz w:val="24"/>
                <w:szCs w:val="24"/>
                <w:highlight w:val="none"/>
              </w:rPr>
              <w:t>技术联系电话：0398-3117871</w:t>
            </w:r>
          </w:p>
          <w:p w14:paraId="6F2CB3E2">
            <w:pPr>
              <w:spacing w:line="360" w:lineRule="auto"/>
              <w:rPr>
                <w:rFonts w:ascii="宋体" w:hAnsi="宋体"/>
                <w:color w:val="auto"/>
                <w:sz w:val="24"/>
                <w:szCs w:val="24"/>
                <w:highlight w:val="none"/>
              </w:rPr>
            </w:pPr>
            <w:r>
              <w:rPr>
                <w:rFonts w:hint="eastAsia" w:ascii="宋体" w:hAnsi="宋体"/>
                <w:color w:val="auto"/>
                <w:sz w:val="24"/>
                <w:szCs w:val="24"/>
                <w:highlight w:val="none"/>
              </w:rPr>
              <w:t>（三）电子化项目开标、解密、唱标、评标</w:t>
            </w:r>
          </w:p>
          <w:p w14:paraId="2CE7FE9B">
            <w:pPr>
              <w:keepNext w:val="0"/>
              <w:keepLines w:val="0"/>
              <w:pageBreakBefore w:val="0"/>
              <w:widowControl w:val="0"/>
              <w:kinsoku/>
              <w:wordWrap w:val="0"/>
              <w:overflowPunct/>
              <w:topLinePunct w:val="0"/>
              <w:autoSpaceDE/>
              <w:autoSpaceDN/>
              <w:bidi w:val="0"/>
              <w:adjustRightInd/>
              <w:snapToGrid/>
              <w:spacing w:line="360" w:lineRule="auto"/>
              <w:textAlignment w:val="auto"/>
              <w:rPr>
                <w:rFonts w:ascii="宋体" w:hAnsi="宋体"/>
                <w:color w:val="auto"/>
                <w:sz w:val="24"/>
                <w:szCs w:val="24"/>
                <w:highlight w:val="none"/>
              </w:rPr>
            </w:pPr>
            <w:r>
              <w:rPr>
                <w:rFonts w:hint="eastAsia" w:ascii="宋体" w:hAnsi="宋体"/>
                <w:color w:val="auto"/>
                <w:sz w:val="24"/>
                <w:szCs w:val="24"/>
                <w:highlight w:val="none"/>
              </w:rPr>
              <w:t>1、本项目为不见面开标项目。开标当日，投标人</w:t>
            </w:r>
            <w:r>
              <w:rPr>
                <w:rFonts w:hint="eastAsia" w:ascii="宋体" w:hAnsi="宋体"/>
                <w:color w:val="auto"/>
                <w:sz w:val="24"/>
                <w:szCs w:val="24"/>
                <w:highlight w:val="none"/>
                <w:lang w:val="en-US" w:eastAsia="zh-CN"/>
              </w:rPr>
              <w:t>无需</w:t>
            </w:r>
            <w:r>
              <w:rPr>
                <w:rFonts w:hint="eastAsia" w:ascii="宋体" w:hAnsi="宋体"/>
                <w:color w:val="auto"/>
                <w:sz w:val="24"/>
                <w:szCs w:val="24"/>
                <w:highlight w:val="none"/>
              </w:rPr>
              <w:t>到开标现场参加开标会议，投标人应当在投标截止时间前，</w:t>
            </w:r>
            <w:r>
              <w:rPr>
                <w:rFonts w:hint="eastAsia" w:ascii="宋体" w:hAnsi="宋体"/>
                <w:color w:val="auto"/>
                <w:sz w:val="24"/>
                <w:szCs w:val="24"/>
                <w:highlight w:val="none"/>
                <w:lang w:eastAsia="zh-CN"/>
              </w:rPr>
              <w:t>登录</w:t>
            </w:r>
            <w:r>
              <w:rPr>
                <w:rFonts w:hint="eastAsia" w:ascii="宋体" w:hAnsi="宋体"/>
                <w:color w:val="auto"/>
                <w:sz w:val="24"/>
                <w:szCs w:val="24"/>
                <w:highlight w:val="none"/>
              </w:rPr>
              <w:t>不见面开标大厅选择</w:t>
            </w:r>
            <w:r>
              <w:rPr>
                <w:rFonts w:hint="eastAsia" w:ascii="宋体" w:hAnsi="宋体"/>
                <w:color w:val="auto"/>
                <w:sz w:val="24"/>
                <w:szCs w:val="24"/>
                <w:highlight w:val="none"/>
                <w:lang w:eastAsia="zh-CN"/>
              </w:rPr>
              <w:t>登录</w:t>
            </w:r>
            <w:r>
              <w:rPr>
                <w:rFonts w:hint="eastAsia" w:ascii="宋体" w:hAnsi="宋体"/>
                <w:color w:val="auto"/>
                <w:sz w:val="24"/>
                <w:szCs w:val="24"/>
                <w:highlight w:val="none"/>
              </w:rPr>
              <w:t>三门峡市公共资源电子招投标系统进行</w:t>
            </w:r>
            <w:r>
              <w:rPr>
                <w:rFonts w:hint="eastAsia" w:ascii="宋体" w:hAnsi="宋体"/>
                <w:color w:val="auto"/>
                <w:sz w:val="24"/>
                <w:szCs w:val="24"/>
                <w:highlight w:val="none"/>
                <w:lang w:eastAsia="zh-CN"/>
              </w:rPr>
              <w:t>登录</w:t>
            </w:r>
            <w:r>
              <w:rPr>
                <w:rFonts w:hint="eastAsia" w:ascii="宋体" w:hAnsi="宋体"/>
                <w:color w:val="auto"/>
                <w:sz w:val="24"/>
                <w:szCs w:val="24"/>
                <w:highlight w:val="none"/>
              </w:rPr>
              <w:t>（网址为http://120.194.249.36:10094/BidOpening/bidopeninghallaction/hall/login）,在线准时参加开标活动并进行投标文件解密等。</w:t>
            </w:r>
          </w:p>
          <w:p w14:paraId="248DB46B">
            <w:pPr>
              <w:spacing w:line="360" w:lineRule="auto"/>
              <w:rPr>
                <w:rFonts w:ascii="宋体" w:hAnsi="宋体"/>
                <w:color w:val="auto"/>
                <w:sz w:val="24"/>
                <w:szCs w:val="24"/>
                <w:highlight w:val="none"/>
              </w:rPr>
            </w:pPr>
            <w:r>
              <w:rPr>
                <w:rFonts w:hint="eastAsia" w:ascii="宋体" w:hAnsi="宋体"/>
                <w:color w:val="auto"/>
                <w:sz w:val="24"/>
                <w:szCs w:val="24"/>
                <w:highlight w:val="none"/>
              </w:rPr>
              <w:t>2、电子化投标文件采用一次加密方式。开标时，由投标人使用CA证书，在规定时间内对其电子化投标文件进行解密。每位投标人的解密时间为开标时间起30分钟内，如在规定时间内未完成解密的，其投标文件不予开标、唱标。</w:t>
            </w:r>
          </w:p>
          <w:p w14:paraId="556F9844">
            <w:pPr>
              <w:spacing w:line="360" w:lineRule="auto"/>
              <w:rPr>
                <w:rFonts w:ascii="宋体" w:hAnsi="宋体"/>
                <w:color w:val="auto"/>
                <w:sz w:val="24"/>
                <w:szCs w:val="24"/>
                <w:highlight w:val="none"/>
              </w:rPr>
            </w:pPr>
            <w:r>
              <w:rPr>
                <w:rFonts w:hint="eastAsia" w:ascii="宋体" w:hAnsi="宋体"/>
                <w:color w:val="auto"/>
                <w:sz w:val="24"/>
                <w:szCs w:val="24"/>
                <w:highlight w:val="none"/>
              </w:rPr>
              <w:t>如投标人携带CA证书至现场参加开标的，首先应按照中介服务机构指引，使用投标人CA证书对其电子化投标文件进行解密。</w:t>
            </w:r>
          </w:p>
          <w:p w14:paraId="0825DB23">
            <w:pPr>
              <w:spacing w:line="360" w:lineRule="auto"/>
              <w:rPr>
                <w:rFonts w:ascii="宋体" w:hAnsi="宋体"/>
                <w:b/>
                <w:color w:val="auto"/>
                <w:sz w:val="24"/>
                <w:szCs w:val="24"/>
                <w:highlight w:val="none"/>
              </w:rPr>
            </w:pPr>
            <w:r>
              <w:rPr>
                <w:rFonts w:hint="eastAsia" w:ascii="宋体" w:hAnsi="宋体"/>
                <w:color w:val="auto"/>
                <w:sz w:val="24"/>
                <w:szCs w:val="24"/>
                <w:highlight w:val="none"/>
              </w:rPr>
              <w:t>3、电子化投标文件异常情况的处理</w:t>
            </w:r>
          </w:p>
          <w:p w14:paraId="1F5B4208">
            <w:pPr>
              <w:spacing w:line="360" w:lineRule="auto"/>
              <w:rPr>
                <w:rFonts w:ascii="宋体" w:hAnsi="宋体"/>
                <w:color w:val="auto"/>
                <w:sz w:val="24"/>
                <w:szCs w:val="24"/>
                <w:highlight w:val="none"/>
              </w:rPr>
            </w:pPr>
            <w:r>
              <w:rPr>
                <w:rFonts w:hint="eastAsia" w:ascii="宋体" w:hAnsi="宋体"/>
                <w:color w:val="auto"/>
                <w:sz w:val="24"/>
                <w:szCs w:val="24"/>
                <w:highlight w:val="none"/>
              </w:rPr>
              <w:t>如出现投标人的电子投标文件无法解密等异常情况，投标人应及时致电中介服务机构说明。投标文件异常，按以下步骤进行处理：</w:t>
            </w:r>
          </w:p>
          <w:p w14:paraId="07B26EED">
            <w:pPr>
              <w:spacing w:line="360" w:lineRule="auto"/>
              <w:rPr>
                <w:rFonts w:ascii="宋体" w:hAnsi="宋体"/>
                <w:color w:val="auto"/>
                <w:sz w:val="24"/>
                <w:szCs w:val="24"/>
                <w:highlight w:val="none"/>
              </w:rPr>
            </w:pPr>
            <w:r>
              <w:rPr>
                <w:rFonts w:hint="eastAsia" w:ascii="宋体" w:hAnsi="宋体"/>
                <w:color w:val="auto"/>
                <w:sz w:val="24"/>
                <w:szCs w:val="24"/>
                <w:highlight w:val="none"/>
              </w:rPr>
              <w:t>（1）首先由技术人员进行问题排查。</w:t>
            </w:r>
          </w:p>
          <w:p w14:paraId="10369CCB">
            <w:pPr>
              <w:spacing w:line="360" w:lineRule="auto"/>
              <w:rPr>
                <w:rFonts w:ascii="宋体" w:hAnsi="宋体"/>
                <w:color w:val="auto"/>
                <w:sz w:val="24"/>
                <w:szCs w:val="24"/>
                <w:highlight w:val="none"/>
              </w:rPr>
            </w:pPr>
            <w:r>
              <w:rPr>
                <w:rFonts w:hint="eastAsia" w:ascii="宋体" w:hAnsi="宋体"/>
                <w:color w:val="auto"/>
                <w:sz w:val="24"/>
                <w:szCs w:val="24"/>
                <w:highlight w:val="none"/>
              </w:rPr>
              <w:t>（2）经技术人员排查后，是投标人文件自身问题导致投标文件无法解密的，该投标文件将不予接收、解密和唱标。开标会议继续进行。</w:t>
            </w:r>
          </w:p>
          <w:p w14:paraId="09B0E612">
            <w:pPr>
              <w:spacing w:line="360" w:lineRule="auto"/>
              <w:rPr>
                <w:rFonts w:ascii="宋体" w:hAnsi="宋体"/>
                <w:color w:val="auto"/>
                <w:sz w:val="24"/>
                <w:szCs w:val="24"/>
                <w:highlight w:val="none"/>
              </w:rPr>
            </w:pPr>
            <w:r>
              <w:rPr>
                <w:rFonts w:hint="eastAsia" w:ascii="宋体" w:hAnsi="宋体"/>
                <w:color w:val="auto"/>
                <w:sz w:val="24"/>
                <w:szCs w:val="24"/>
                <w:highlight w:val="none"/>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220C570B">
            <w:pPr>
              <w:spacing w:line="360" w:lineRule="auto"/>
              <w:rPr>
                <w:rFonts w:ascii="宋体" w:hAnsi="宋体"/>
                <w:color w:val="auto"/>
                <w:sz w:val="24"/>
                <w:szCs w:val="24"/>
                <w:highlight w:val="none"/>
              </w:rPr>
            </w:pPr>
            <w:r>
              <w:rPr>
                <w:rFonts w:hint="eastAsia" w:ascii="宋体" w:hAnsi="宋体"/>
                <w:color w:val="auto"/>
                <w:sz w:val="24"/>
                <w:szCs w:val="24"/>
                <w:highlight w:val="none"/>
              </w:rPr>
              <w:t>4、待所有投标人投标文件解密完成后，由中介服务机构操作，对所有已解密投标文件进行唱标。</w:t>
            </w:r>
          </w:p>
          <w:p w14:paraId="29BC3CCE">
            <w:pPr>
              <w:spacing w:line="360" w:lineRule="auto"/>
              <w:rPr>
                <w:rFonts w:ascii="宋体" w:hAnsi="宋体"/>
                <w:b/>
                <w:color w:val="auto"/>
                <w:sz w:val="24"/>
                <w:szCs w:val="24"/>
                <w:highlight w:val="none"/>
              </w:rPr>
            </w:pPr>
            <w:r>
              <w:rPr>
                <w:rFonts w:hint="eastAsia" w:ascii="宋体" w:hAnsi="宋体"/>
                <w:b/>
                <w:color w:val="auto"/>
                <w:sz w:val="24"/>
                <w:szCs w:val="24"/>
                <w:highlight w:val="none"/>
              </w:rPr>
              <w:t>投标人应保证在开标期间电话、电脑、网络能够正常工作，投标人因停电、电脑病毒、网络堵塞等原因，未在规定的解密时间内对投标文件进行解密的，其投标文件不予接收、唱标。</w:t>
            </w:r>
          </w:p>
          <w:p w14:paraId="7B588DD0">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5、开标时</w:t>
            </w:r>
            <w:r>
              <w:rPr>
                <w:rFonts w:hint="eastAsia" w:ascii="宋体" w:hAnsi="宋体"/>
                <w:color w:val="auto"/>
                <w:sz w:val="24"/>
                <w:szCs w:val="24"/>
                <w:highlight w:val="none"/>
              </w:rPr>
              <w:t>投标</w:t>
            </w:r>
            <w:r>
              <w:rPr>
                <w:rFonts w:hint="eastAsia" w:ascii="宋体" w:hAnsi="宋体" w:cs="宋体"/>
                <w:color w:val="auto"/>
                <w:sz w:val="24"/>
                <w:szCs w:val="24"/>
                <w:highlight w:val="none"/>
              </w:rPr>
              <w:t>人可登录到交易系统中在开标大厅中点击开标一览表查看自己的投标报价。如对自己的唱标内容有异议的，应在唱标内容显示后10分钟内向中介服务机构电话质疑。中介服务机构应在监督人员的监督下进行免提通话接受</w:t>
            </w:r>
            <w:r>
              <w:rPr>
                <w:rFonts w:hint="eastAsia" w:ascii="宋体" w:hAnsi="宋体"/>
                <w:color w:val="auto"/>
                <w:sz w:val="24"/>
                <w:szCs w:val="24"/>
                <w:highlight w:val="none"/>
              </w:rPr>
              <w:t>投标</w:t>
            </w:r>
            <w:r>
              <w:rPr>
                <w:rFonts w:hint="eastAsia" w:ascii="宋体" w:hAnsi="宋体" w:cs="宋体"/>
                <w:color w:val="auto"/>
                <w:sz w:val="24"/>
                <w:szCs w:val="24"/>
                <w:highlight w:val="none"/>
              </w:rPr>
              <w:t>人的质疑并做好书面记录。</w:t>
            </w:r>
            <w:r>
              <w:rPr>
                <w:rFonts w:hint="eastAsia" w:ascii="宋体" w:hAnsi="宋体"/>
                <w:color w:val="auto"/>
                <w:sz w:val="24"/>
                <w:szCs w:val="24"/>
                <w:highlight w:val="none"/>
              </w:rPr>
              <w:t>投标</w:t>
            </w:r>
            <w:r>
              <w:rPr>
                <w:rFonts w:hint="eastAsia" w:ascii="宋体" w:hAnsi="宋体" w:cs="宋体"/>
                <w:color w:val="auto"/>
                <w:sz w:val="24"/>
                <w:szCs w:val="24"/>
                <w:highlight w:val="none"/>
              </w:rPr>
              <w:t>人未在规定时间内提出质疑的，视为认可唱标内容。</w:t>
            </w:r>
          </w:p>
          <w:p w14:paraId="3FF712B2">
            <w:pPr>
              <w:spacing w:line="360" w:lineRule="auto"/>
              <w:rPr>
                <w:rFonts w:ascii="宋体" w:hAnsi="宋体"/>
                <w:color w:val="auto"/>
                <w:sz w:val="24"/>
                <w:szCs w:val="24"/>
                <w:highlight w:val="none"/>
              </w:rPr>
            </w:pPr>
            <w:r>
              <w:rPr>
                <w:rFonts w:hint="eastAsia" w:ascii="宋体" w:hAnsi="宋体"/>
                <w:color w:val="auto"/>
                <w:sz w:val="24"/>
                <w:szCs w:val="24"/>
                <w:highlight w:val="none"/>
              </w:rPr>
              <w:t>6、评标时，评标委员会对电子化投标文件有质疑的，将通过电子化交易系统对投标人发起质疑。质疑回复内容确认后，投标人的回复文件必须以经过投标人和其法定代表人签章的PDF格式文件为准，并通过电子化交易系统提交至评标委员会。</w:t>
            </w:r>
          </w:p>
          <w:p w14:paraId="22BAC063">
            <w:pPr>
              <w:spacing w:line="360" w:lineRule="auto"/>
              <w:rPr>
                <w:rFonts w:ascii="宋体" w:hAnsi="宋体"/>
                <w:color w:val="auto"/>
                <w:sz w:val="24"/>
                <w:szCs w:val="24"/>
                <w:highlight w:val="none"/>
              </w:rPr>
            </w:pPr>
            <w:r>
              <w:rPr>
                <w:rFonts w:hint="eastAsia" w:ascii="宋体" w:hAnsi="宋体"/>
                <w:color w:val="auto"/>
                <w:sz w:val="24"/>
                <w:szCs w:val="24"/>
                <w:highlight w:val="none"/>
              </w:rPr>
              <w:t>7、如评标委员会对需要回复的投标人连续三次致电未接通的，视为投标人放弃回复，评标委员会将自行对需要回复的内容进行认定。</w:t>
            </w:r>
          </w:p>
          <w:p w14:paraId="6E73F71A">
            <w:pPr>
              <w:snapToGrid w:val="0"/>
              <w:spacing w:line="276" w:lineRule="auto"/>
              <w:rPr>
                <w:rFonts w:ascii="宋体"/>
                <w:b/>
                <w:bCs/>
                <w:color w:val="auto"/>
                <w:sz w:val="24"/>
                <w:szCs w:val="24"/>
                <w:highlight w:val="none"/>
              </w:rPr>
            </w:pPr>
            <w:r>
              <w:rPr>
                <w:rFonts w:hint="eastAsia" w:ascii="宋体" w:hAnsi="宋体" w:cs="宋体"/>
                <w:b/>
                <w:color w:val="auto"/>
                <w:sz w:val="24"/>
                <w:szCs w:val="24"/>
                <w:highlight w:val="none"/>
              </w:rPr>
              <w:t>提示：本项目为电子化、无纸化交易项目，开标时不再接受任何纸质资料，为保证您能投标成功，请需仔细阅读以上条款。</w:t>
            </w:r>
          </w:p>
        </w:tc>
      </w:tr>
    </w:tbl>
    <w:p w14:paraId="5230A22C">
      <w:pPr>
        <w:shd w:val="clear" w:color="auto" w:fill="FFFFFF"/>
        <w:snapToGrid w:val="0"/>
        <w:spacing w:line="360" w:lineRule="auto"/>
        <w:ind w:right="105" w:rightChars="50" w:firstLine="3975" w:firstLineChars="1100"/>
        <w:rPr>
          <w:rFonts w:hint="eastAsia" w:ascii="宋体" w:hAnsi="宋体" w:cs="宋体"/>
          <w:b/>
          <w:bCs/>
          <w:color w:val="auto"/>
          <w:sz w:val="36"/>
          <w:szCs w:val="36"/>
          <w:highlight w:val="none"/>
        </w:rPr>
      </w:pPr>
    </w:p>
    <w:p w14:paraId="08CD55A9">
      <w:pPr>
        <w:shd w:val="clear" w:color="auto" w:fill="FFFFFF"/>
        <w:snapToGrid w:val="0"/>
        <w:spacing w:line="360" w:lineRule="auto"/>
        <w:ind w:right="105" w:rightChars="50" w:firstLine="3975" w:firstLineChars="1100"/>
        <w:outlineLvl w:val="0"/>
        <w:rPr>
          <w:rFonts w:ascii="宋体"/>
          <w:b/>
          <w:bCs/>
          <w:color w:val="auto"/>
          <w:sz w:val="36"/>
          <w:szCs w:val="36"/>
          <w:highlight w:val="none"/>
        </w:rPr>
      </w:pPr>
      <w:bookmarkStart w:id="23" w:name="_Toc2461"/>
      <w:bookmarkStart w:id="24" w:name="_Toc30264"/>
      <w:r>
        <w:rPr>
          <w:rFonts w:hint="eastAsia" w:ascii="宋体" w:hAnsi="宋体" w:cs="宋体"/>
          <w:b/>
          <w:bCs/>
          <w:color w:val="auto"/>
          <w:sz w:val="36"/>
          <w:szCs w:val="36"/>
          <w:highlight w:val="none"/>
        </w:rPr>
        <w:t>一、总则</w:t>
      </w:r>
      <w:bookmarkEnd w:id="23"/>
      <w:bookmarkEnd w:id="24"/>
    </w:p>
    <w:p w14:paraId="73374E2A">
      <w:pPr>
        <w:keepNext w:val="0"/>
        <w:keepLines w:val="0"/>
        <w:pageBreakBefore w:val="0"/>
        <w:widowControl w:val="0"/>
        <w:shd w:val="clear" w:color="auto" w:fill="FFFFFF"/>
        <w:kinsoku/>
        <w:wordWrap/>
        <w:overflowPunct/>
        <w:topLinePunct w:val="0"/>
        <w:autoSpaceDE/>
        <w:autoSpaceDN/>
        <w:bidi w:val="0"/>
        <w:adjustRightInd/>
        <w:snapToGrid w:val="0"/>
        <w:spacing w:line="360" w:lineRule="auto"/>
        <w:ind w:right="105" w:rightChars="50" w:firstLine="482" w:firstLineChars="200"/>
        <w:textAlignment w:val="auto"/>
        <w:outlineLvl w:val="1"/>
        <w:rPr>
          <w:rFonts w:ascii="宋体"/>
          <w:color w:val="auto"/>
          <w:sz w:val="24"/>
          <w:szCs w:val="24"/>
          <w:highlight w:val="none"/>
        </w:rPr>
      </w:pPr>
      <w:bookmarkStart w:id="25" w:name="_Toc20777"/>
      <w:bookmarkStart w:id="26" w:name="_Toc14997"/>
      <w:r>
        <w:rPr>
          <w:rFonts w:ascii="宋体" w:hAnsi="宋体" w:cs="宋体"/>
          <w:b/>
          <w:bCs/>
          <w:color w:val="auto"/>
          <w:sz w:val="24"/>
          <w:szCs w:val="24"/>
          <w:highlight w:val="none"/>
        </w:rPr>
        <w:t>1</w:t>
      </w:r>
      <w:r>
        <w:rPr>
          <w:rFonts w:hint="eastAsia" w:ascii="宋体" w:hAnsi="宋体" w:cs="宋体"/>
          <w:b/>
          <w:bCs/>
          <w:color w:val="auto"/>
          <w:sz w:val="24"/>
          <w:szCs w:val="24"/>
          <w:highlight w:val="none"/>
        </w:rPr>
        <w:t>、</w:t>
      </w:r>
      <w:r>
        <w:rPr>
          <w:rFonts w:hint="eastAsia" w:ascii="宋体" w:hAnsi="宋体" w:cs="宋体"/>
          <w:color w:val="auto"/>
          <w:sz w:val="24"/>
          <w:szCs w:val="24"/>
          <w:highlight w:val="none"/>
        </w:rPr>
        <w:t>项目概况</w:t>
      </w:r>
      <w:bookmarkEnd w:id="25"/>
      <w:bookmarkEnd w:id="26"/>
    </w:p>
    <w:p w14:paraId="1EDC2D6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1.1采购</w:t>
      </w:r>
      <w:r>
        <w:rPr>
          <w:rFonts w:hint="eastAsia" w:ascii="宋体" w:hAnsi="宋体"/>
          <w:color w:val="auto"/>
          <w:sz w:val="24"/>
          <w:szCs w:val="24"/>
          <w:highlight w:val="none"/>
        </w:rPr>
        <w:t>内容：本项目为</w:t>
      </w:r>
      <w:r>
        <w:rPr>
          <w:rFonts w:hint="eastAsia" w:ascii="宋体" w:hAnsi="宋体"/>
          <w:color w:val="auto"/>
          <w:sz w:val="24"/>
          <w:szCs w:val="24"/>
          <w:highlight w:val="none"/>
          <w:lang w:eastAsia="zh-CN"/>
        </w:rPr>
        <w:t>义马市交通运输局（原G310义渑东交界处）双向不停车智能检测项目</w:t>
      </w:r>
      <w:r>
        <w:rPr>
          <w:rFonts w:hint="eastAsia" w:ascii="宋体" w:hAnsi="宋体"/>
          <w:color w:val="auto"/>
          <w:sz w:val="24"/>
          <w:szCs w:val="24"/>
          <w:highlight w:val="none"/>
        </w:rPr>
        <w:t>，主要采购内容：高速动态称重系统</w:t>
      </w:r>
      <w:r>
        <w:rPr>
          <w:rFonts w:hint="eastAsia" w:ascii="宋体" w:hAnsi="宋体"/>
          <w:color w:val="auto"/>
          <w:sz w:val="24"/>
          <w:szCs w:val="24"/>
          <w:highlight w:val="none"/>
          <w:lang w:eastAsia="zh-CN"/>
        </w:rPr>
        <w:t>、车牌识别抓拍系统视频监控系统、信息发布系统</w:t>
      </w:r>
      <w:r>
        <w:rPr>
          <w:rFonts w:hint="eastAsia" w:ascii="宋体" w:hAnsi="宋体"/>
          <w:color w:val="auto"/>
          <w:sz w:val="24"/>
          <w:szCs w:val="24"/>
          <w:highlight w:val="none"/>
          <w:lang w:val="en-US" w:eastAsia="zh-CN"/>
        </w:rPr>
        <w:t>等（</w:t>
      </w:r>
      <w:r>
        <w:rPr>
          <w:rFonts w:hint="eastAsia" w:ascii="宋体" w:hAnsi="宋体" w:eastAsia="宋体" w:cs="Times New Roman"/>
          <w:color w:val="auto"/>
          <w:sz w:val="24"/>
          <w:szCs w:val="24"/>
          <w:highlight w:val="none"/>
          <w:lang w:val="en-US" w:eastAsia="zh-CN"/>
        </w:rPr>
        <w:t>具体要求详见招标文件</w:t>
      </w:r>
      <w:r>
        <w:rPr>
          <w:rFonts w:hint="eastAsia" w:ascii="宋体" w:hAnsi="宋体"/>
          <w:color w:val="auto"/>
          <w:sz w:val="24"/>
          <w:szCs w:val="24"/>
          <w:highlight w:val="none"/>
          <w:lang w:val="en-US" w:eastAsia="zh-CN"/>
        </w:rPr>
        <w:t>）</w:t>
      </w:r>
      <w:r>
        <w:rPr>
          <w:rFonts w:hint="eastAsia" w:ascii="宋体" w:hAnsi="宋体"/>
          <w:color w:val="auto"/>
          <w:sz w:val="24"/>
          <w:szCs w:val="24"/>
          <w:highlight w:val="none"/>
        </w:rPr>
        <w:t>。</w:t>
      </w:r>
    </w:p>
    <w:p w14:paraId="77420514">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1.2交货期限</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 xml:space="preserve">签订合同60日历天内完成供货、安装及调试完毕   </w:t>
      </w:r>
    </w:p>
    <w:p w14:paraId="2D96CFA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1.3质保期：</w:t>
      </w:r>
      <w:r>
        <w:rPr>
          <w:rFonts w:hint="eastAsia" w:ascii="宋体" w:hAnsi="宋体" w:cs="Times New Roman"/>
          <w:color w:val="auto"/>
          <w:sz w:val="24"/>
          <w:szCs w:val="24"/>
          <w:highlight w:val="none"/>
          <w:lang w:val="en-US" w:eastAsia="zh-CN"/>
        </w:rPr>
        <w:t>三年</w:t>
      </w:r>
      <w:r>
        <w:rPr>
          <w:rFonts w:hint="eastAsia" w:ascii="宋体" w:hAnsi="宋体" w:eastAsia="宋体" w:cs="Times New Roman"/>
          <w:color w:val="auto"/>
          <w:sz w:val="24"/>
          <w:szCs w:val="24"/>
          <w:highlight w:val="none"/>
          <w:lang w:val="en-US" w:eastAsia="zh-CN"/>
        </w:rPr>
        <w:t xml:space="preserve"> </w:t>
      </w:r>
    </w:p>
    <w:p w14:paraId="71C11F4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1.4质量要求</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合格</w:t>
      </w:r>
    </w:p>
    <w:p w14:paraId="6C932410">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1.5交货地点：</w:t>
      </w:r>
      <w:r>
        <w:rPr>
          <w:rFonts w:hint="eastAsia" w:ascii="宋体" w:hAnsi="宋体"/>
          <w:color w:val="auto"/>
          <w:sz w:val="24"/>
          <w:szCs w:val="24"/>
          <w:highlight w:val="none"/>
          <w:lang w:eastAsia="zh-CN"/>
        </w:rPr>
        <w:t>原G310义渑东交界处</w:t>
      </w:r>
    </w:p>
    <w:p w14:paraId="29341E9A">
      <w:pPr>
        <w:keepNext w:val="0"/>
        <w:keepLines w:val="0"/>
        <w:pageBreakBefore w:val="0"/>
        <w:widowControl w:val="0"/>
        <w:shd w:val="clear" w:color="auto" w:fill="FFFFFF"/>
        <w:kinsoku/>
        <w:wordWrap/>
        <w:overflowPunct/>
        <w:topLinePunct w:val="0"/>
        <w:autoSpaceDE/>
        <w:autoSpaceDN/>
        <w:bidi w:val="0"/>
        <w:adjustRightInd/>
        <w:snapToGrid w:val="0"/>
        <w:spacing w:line="360" w:lineRule="auto"/>
        <w:ind w:right="105" w:rightChars="50" w:firstLine="482" w:firstLineChars="200"/>
        <w:textAlignment w:val="auto"/>
        <w:outlineLvl w:val="1"/>
        <w:rPr>
          <w:rFonts w:ascii="宋体"/>
          <w:color w:val="auto"/>
          <w:sz w:val="24"/>
          <w:szCs w:val="24"/>
          <w:highlight w:val="none"/>
        </w:rPr>
      </w:pPr>
      <w:bookmarkStart w:id="27" w:name="_Toc12324"/>
      <w:bookmarkStart w:id="28" w:name="_Toc16397"/>
      <w:r>
        <w:rPr>
          <w:rFonts w:ascii="宋体" w:hAnsi="宋体" w:cs="宋体"/>
          <w:b/>
          <w:bCs/>
          <w:color w:val="auto"/>
          <w:sz w:val="24"/>
          <w:szCs w:val="24"/>
          <w:highlight w:val="none"/>
        </w:rPr>
        <w:t>2</w:t>
      </w:r>
      <w:r>
        <w:rPr>
          <w:rFonts w:hint="eastAsia" w:ascii="宋体" w:hAnsi="宋体" w:cs="宋体"/>
          <w:b/>
          <w:bCs/>
          <w:color w:val="auto"/>
          <w:sz w:val="24"/>
          <w:szCs w:val="24"/>
          <w:highlight w:val="none"/>
        </w:rPr>
        <w:t>、投标费用</w:t>
      </w:r>
      <w:bookmarkEnd w:id="27"/>
      <w:bookmarkEnd w:id="28"/>
    </w:p>
    <w:p w14:paraId="4FB59986">
      <w:pPr>
        <w:keepNext w:val="0"/>
        <w:keepLines w:val="0"/>
        <w:pageBreakBefore w:val="0"/>
        <w:widowControl w:val="0"/>
        <w:shd w:val="clear" w:color="auto" w:fill="FFFFFF"/>
        <w:kinsoku/>
        <w:wordWrap/>
        <w:overflowPunct/>
        <w:topLinePunct w:val="0"/>
        <w:autoSpaceDE/>
        <w:autoSpaceDN/>
        <w:bidi w:val="0"/>
        <w:adjustRightInd/>
        <w:snapToGrid w:val="0"/>
        <w:spacing w:line="360" w:lineRule="auto"/>
        <w:ind w:right="105" w:rightChars="50" w:firstLine="482" w:firstLineChars="200"/>
        <w:textAlignment w:val="auto"/>
        <w:rPr>
          <w:rFonts w:ascii="宋体"/>
          <w:color w:val="auto"/>
          <w:sz w:val="24"/>
          <w:szCs w:val="24"/>
          <w:highlight w:val="none"/>
        </w:rPr>
      </w:pPr>
      <w:r>
        <w:rPr>
          <w:rFonts w:ascii="宋体" w:hAnsi="宋体" w:cs="宋体"/>
          <w:b/>
          <w:bCs/>
          <w:color w:val="auto"/>
          <w:sz w:val="24"/>
          <w:szCs w:val="24"/>
          <w:highlight w:val="none"/>
        </w:rPr>
        <w:t>2.1</w:t>
      </w:r>
      <w:r>
        <w:rPr>
          <w:rFonts w:hint="eastAsia" w:ascii="宋体" w:hAnsi="宋体" w:cs="宋体"/>
          <w:color w:val="auto"/>
          <w:sz w:val="24"/>
          <w:szCs w:val="24"/>
          <w:highlight w:val="none"/>
        </w:rPr>
        <w:t>投标供应商承担其投标文件编制与递交所涉及的一切费用。在任何情况下采购人和招标代理机构对上述费用均不承担任何责任。</w:t>
      </w:r>
    </w:p>
    <w:p w14:paraId="4BD8C17F">
      <w:pPr>
        <w:keepNext w:val="0"/>
        <w:keepLines w:val="0"/>
        <w:pageBreakBefore w:val="0"/>
        <w:widowControl w:val="0"/>
        <w:shd w:val="clear" w:color="auto" w:fill="FFFFFF"/>
        <w:kinsoku/>
        <w:wordWrap/>
        <w:overflowPunct/>
        <w:topLinePunct w:val="0"/>
        <w:autoSpaceDE/>
        <w:autoSpaceDN/>
        <w:bidi w:val="0"/>
        <w:adjustRightInd/>
        <w:snapToGrid w:val="0"/>
        <w:spacing w:line="360" w:lineRule="auto"/>
        <w:ind w:right="105" w:rightChars="50" w:firstLine="482" w:firstLineChars="200"/>
        <w:textAlignment w:val="auto"/>
        <w:outlineLvl w:val="1"/>
        <w:rPr>
          <w:rFonts w:ascii="宋体"/>
          <w:color w:val="auto"/>
          <w:sz w:val="24"/>
          <w:szCs w:val="24"/>
          <w:highlight w:val="none"/>
        </w:rPr>
      </w:pPr>
      <w:bookmarkStart w:id="29" w:name="_Toc24234"/>
      <w:bookmarkStart w:id="30" w:name="_Toc962"/>
      <w:r>
        <w:rPr>
          <w:rFonts w:ascii="宋体" w:hAnsi="宋体" w:cs="宋体"/>
          <w:b/>
          <w:bCs/>
          <w:color w:val="auto"/>
          <w:sz w:val="24"/>
          <w:szCs w:val="24"/>
          <w:highlight w:val="none"/>
        </w:rPr>
        <w:t>3</w:t>
      </w:r>
      <w:r>
        <w:rPr>
          <w:rFonts w:hint="eastAsia" w:ascii="宋体" w:hAnsi="宋体" w:cs="宋体"/>
          <w:b/>
          <w:bCs/>
          <w:color w:val="auto"/>
          <w:sz w:val="24"/>
          <w:szCs w:val="24"/>
          <w:highlight w:val="none"/>
        </w:rPr>
        <w:t>、定义及解释</w:t>
      </w:r>
      <w:bookmarkEnd w:id="29"/>
      <w:bookmarkEnd w:id="30"/>
    </w:p>
    <w:p w14:paraId="60CC5EB2">
      <w:pPr>
        <w:keepNext w:val="0"/>
        <w:keepLines w:val="0"/>
        <w:pageBreakBefore w:val="0"/>
        <w:widowControl w:val="0"/>
        <w:kinsoku/>
        <w:wordWrap/>
        <w:overflowPunct/>
        <w:topLinePunct w:val="0"/>
        <w:autoSpaceDE/>
        <w:autoSpaceDN/>
        <w:bidi w:val="0"/>
        <w:adjustRightInd/>
        <w:spacing w:line="360" w:lineRule="auto"/>
        <w:ind w:right="105" w:rightChars="50" w:firstLine="482" w:firstLineChars="200"/>
        <w:textAlignment w:val="auto"/>
        <w:rPr>
          <w:rFonts w:hint="eastAsia" w:ascii="宋体" w:hAnsi="宋体" w:cs="宋体"/>
          <w:color w:val="auto"/>
          <w:sz w:val="24"/>
          <w:szCs w:val="24"/>
          <w:highlight w:val="none"/>
        </w:rPr>
      </w:pPr>
      <w:r>
        <w:rPr>
          <w:rFonts w:ascii="宋体" w:hAnsi="宋体" w:cs="宋体"/>
          <w:b/>
          <w:bCs/>
          <w:color w:val="auto"/>
          <w:sz w:val="24"/>
          <w:szCs w:val="24"/>
          <w:highlight w:val="none"/>
        </w:rPr>
        <w:t>3.1</w:t>
      </w:r>
      <w:r>
        <w:rPr>
          <w:rFonts w:hint="eastAsia" w:ascii="宋体" w:hAnsi="宋体" w:cs="宋体"/>
          <w:color w:val="auto"/>
          <w:sz w:val="24"/>
          <w:szCs w:val="24"/>
          <w:highlight w:val="none"/>
        </w:rPr>
        <w:t>货物：系指投标供应商按招标文件规定而提供的设备、工具、备品备件、手册及其他有关技术资料和材料。</w:t>
      </w:r>
    </w:p>
    <w:p w14:paraId="0399B779">
      <w:pPr>
        <w:keepNext w:val="0"/>
        <w:keepLines w:val="0"/>
        <w:pageBreakBefore w:val="0"/>
        <w:widowControl w:val="0"/>
        <w:kinsoku/>
        <w:wordWrap/>
        <w:overflowPunct/>
        <w:topLinePunct w:val="0"/>
        <w:autoSpaceDE/>
        <w:autoSpaceDN/>
        <w:bidi w:val="0"/>
        <w:adjustRightInd/>
        <w:spacing w:line="360" w:lineRule="auto"/>
        <w:ind w:right="105" w:rightChars="50" w:firstLine="482" w:firstLineChars="200"/>
        <w:textAlignment w:val="auto"/>
        <w:rPr>
          <w:rFonts w:hint="eastAsia" w:ascii="宋体" w:hAnsi="宋体" w:cs="宋体"/>
          <w:color w:val="auto"/>
          <w:sz w:val="24"/>
          <w:szCs w:val="24"/>
          <w:highlight w:val="none"/>
        </w:rPr>
      </w:pPr>
      <w:r>
        <w:rPr>
          <w:rFonts w:ascii="宋体" w:hAnsi="宋体" w:cs="宋体"/>
          <w:b/>
          <w:bCs/>
          <w:color w:val="auto"/>
          <w:sz w:val="24"/>
          <w:szCs w:val="24"/>
          <w:highlight w:val="none"/>
        </w:rPr>
        <w:t>3.2</w:t>
      </w:r>
      <w:r>
        <w:rPr>
          <w:rFonts w:hint="eastAsia" w:ascii="宋体" w:hAnsi="宋体" w:cs="宋体"/>
          <w:color w:val="auto"/>
          <w:sz w:val="24"/>
          <w:szCs w:val="24"/>
          <w:highlight w:val="none"/>
        </w:rPr>
        <w:t>服务：系指投标供应商提供的安装、调试、验收、培训、质保期服务、与货物有关的运输和保险及其他伴随服务。</w:t>
      </w:r>
    </w:p>
    <w:p w14:paraId="5C9425A4">
      <w:pPr>
        <w:keepNext w:val="0"/>
        <w:keepLines w:val="0"/>
        <w:pageBreakBefore w:val="0"/>
        <w:widowControl w:val="0"/>
        <w:kinsoku/>
        <w:wordWrap/>
        <w:overflowPunct/>
        <w:topLinePunct w:val="0"/>
        <w:autoSpaceDE/>
        <w:autoSpaceDN/>
        <w:bidi w:val="0"/>
        <w:adjustRightInd/>
        <w:spacing w:line="360" w:lineRule="auto"/>
        <w:ind w:right="105" w:rightChars="50" w:firstLine="482" w:firstLineChars="200"/>
        <w:textAlignment w:val="auto"/>
        <w:rPr>
          <w:rFonts w:ascii="宋体" w:hAnsi="宋体" w:cs="宋体"/>
          <w:b/>
          <w:bCs/>
          <w:color w:val="auto"/>
          <w:sz w:val="24"/>
          <w:szCs w:val="24"/>
          <w:highlight w:val="none"/>
        </w:rPr>
      </w:pPr>
      <w:r>
        <w:rPr>
          <w:rFonts w:ascii="宋体" w:hAnsi="宋体" w:cs="宋体"/>
          <w:b/>
          <w:bCs/>
          <w:color w:val="auto"/>
          <w:sz w:val="24"/>
          <w:szCs w:val="24"/>
          <w:highlight w:val="none"/>
        </w:rPr>
        <w:t>3.3</w:t>
      </w:r>
      <w:r>
        <w:rPr>
          <w:rFonts w:hint="eastAsia" w:ascii="宋体" w:hAnsi="宋体" w:cs="宋体"/>
          <w:color w:val="auto"/>
          <w:sz w:val="24"/>
          <w:szCs w:val="24"/>
          <w:highlight w:val="none"/>
        </w:rPr>
        <w:t>采购人：</w:t>
      </w:r>
      <w:r>
        <w:rPr>
          <w:rFonts w:hint="eastAsia" w:ascii="宋体" w:hAnsi="宋体" w:cs="宋体"/>
          <w:color w:val="auto"/>
          <w:sz w:val="24"/>
          <w:szCs w:val="24"/>
          <w:highlight w:val="none"/>
          <w:lang w:eastAsia="zh-CN"/>
        </w:rPr>
        <w:t>义马市交通运输局</w:t>
      </w:r>
      <w:r>
        <w:rPr>
          <w:rFonts w:ascii="宋体" w:hAnsi="宋体" w:cs="宋体"/>
          <w:b/>
          <w:bCs/>
          <w:color w:val="auto"/>
          <w:sz w:val="24"/>
          <w:szCs w:val="24"/>
          <w:highlight w:val="none"/>
        </w:rPr>
        <w:t xml:space="preserve"> </w:t>
      </w:r>
    </w:p>
    <w:p w14:paraId="1AD0C1B9">
      <w:pPr>
        <w:keepNext w:val="0"/>
        <w:keepLines w:val="0"/>
        <w:pageBreakBefore w:val="0"/>
        <w:widowControl w:val="0"/>
        <w:kinsoku/>
        <w:wordWrap/>
        <w:overflowPunct/>
        <w:topLinePunct w:val="0"/>
        <w:autoSpaceDE/>
        <w:autoSpaceDN/>
        <w:bidi w:val="0"/>
        <w:adjustRightInd/>
        <w:spacing w:line="360" w:lineRule="auto"/>
        <w:ind w:right="105" w:rightChars="50" w:firstLine="482" w:firstLineChars="200"/>
        <w:textAlignment w:val="auto"/>
        <w:rPr>
          <w:rFonts w:ascii="宋体"/>
          <w:color w:val="auto"/>
          <w:sz w:val="24"/>
          <w:szCs w:val="24"/>
          <w:highlight w:val="none"/>
        </w:rPr>
      </w:pPr>
      <w:r>
        <w:rPr>
          <w:rFonts w:ascii="宋体" w:hAnsi="宋体" w:cs="宋体"/>
          <w:b/>
          <w:bCs/>
          <w:color w:val="auto"/>
          <w:sz w:val="24"/>
          <w:szCs w:val="24"/>
          <w:highlight w:val="none"/>
        </w:rPr>
        <w:t>3.4</w:t>
      </w:r>
      <w:r>
        <w:rPr>
          <w:rFonts w:hint="eastAsia" w:ascii="宋体" w:hAnsi="宋体" w:cs="宋体"/>
          <w:color w:val="auto"/>
          <w:sz w:val="24"/>
          <w:szCs w:val="24"/>
          <w:highlight w:val="none"/>
        </w:rPr>
        <w:t>投标供应商：是指响应招标、参加投标竞争的法人或者其他组织。</w:t>
      </w:r>
    </w:p>
    <w:p w14:paraId="5A96015C">
      <w:pPr>
        <w:keepNext w:val="0"/>
        <w:keepLines w:val="0"/>
        <w:pageBreakBefore w:val="0"/>
        <w:widowControl w:val="0"/>
        <w:kinsoku/>
        <w:wordWrap/>
        <w:overflowPunct/>
        <w:topLinePunct w:val="0"/>
        <w:autoSpaceDE/>
        <w:autoSpaceDN/>
        <w:bidi w:val="0"/>
        <w:adjustRightInd/>
        <w:spacing w:line="360" w:lineRule="auto"/>
        <w:ind w:right="105" w:rightChars="50" w:firstLine="482" w:firstLineChars="200"/>
        <w:textAlignment w:val="auto"/>
        <w:rPr>
          <w:rFonts w:hint="eastAsia" w:ascii="宋体" w:hAnsi="宋体" w:cs="宋体"/>
          <w:color w:val="auto"/>
          <w:sz w:val="24"/>
          <w:szCs w:val="24"/>
          <w:highlight w:val="none"/>
          <w:lang w:eastAsia="zh-CN"/>
        </w:rPr>
      </w:pPr>
      <w:r>
        <w:rPr>
          <w:rFonts w:ascii="宋体" w:hAnsi="宋体" w:cs="宋体"/>
          <w:b/>
          <w:bCs/>
          <w:color w:val="auto"/>
          <w:sz w:val="24"/>
          <w:szCs w:val="24"/>
          <w:highlight w:val="none"/>
        </w:rPr>
        <w:t>3.5</w:t>
      </w:r>
      <w:r>
        <w:rPr>
          <w:rFonts w:hint="eastAsia" w:ascii="宋体" w:hAnsi="宋体" w:cs="宋体"/>
          <w:color w:val="auto"/>
          <w:sz w:val="24"/>
          <w:szCs w:val="24"/>
          <w:highlight w:val="none"/>
        </w:rPr>
        <w:t>采购代理机构：</w:t>
      </w:r>
      <w:r>
        <w:rPr>
          <w:rFonts w:hint="eastAsia" w:ascii="宋体" w:hAnsi="宋体" w:cs="宋体"/>
          <w:color w:val="auto"/>
          <w:sz w:val="24"/>
          <w:szCs w:val="24"/>
          <w:highlight w:val="none"/>
          <w:lang w:eastAsia="zh-CN"/>
        </w:rPr>
        <w:t>崇璟工程管理咨询有限公司</w:t>
      </w:r>
    </w:p>
    <w:p w14:paraId="26CFD204">
      <w:pPr>
        <w:keepNext w:val="0"/>
        <w:keepLines w:val="0"/>
        <w:pageBreakBefore w:val="0"/>
        <w:widowControl w:val="0"/>
        <w:kinsoku/>
        <w:wordWrap/>
        <w:overflowPunct/>
        <w:topLinePunct w:val="0"/>
        <w:autoSpaceDE/>
        <w:autoSpaceDN/>
        <w:bidi w:val="0"/>
        <w:adjustRightInd/>
        <w:spacing w:line="360" w:lineRule="auto"/>
        <w:ind w:right="105" w:rightChars="50" w:firstLine="482" w:firstLineChars="200"/>
        <w:textAlignment w:val="auto"/>
        <w:rPr>
          <w:rFonts w:ascii="宋体"/>
          <w:b/>
          <w:bCs/>
          <w:color w:val="auto"/>
          <w:sz w:val="24"/>
          <w:szCs w:val="24"/>
          <w:highlight w:val="none"/>
        </w:rPr>
      </w:pPr>
      <w:r>
        <w:rPr>
          <w:rFonts w:ascii="宋体" w:hAnsi="宋体" w:cs="宋体"/>
          <w:b/>
          <w:bCs/>
          <w:color w:val="auto"/>
          <w:sz w:val="24"/>
          <w:szCs w:val="24"/>
          <w:highlight w:val="none"/>
        </w:rPr>
        <w:t>3.6</w:t>
      </w:r>
      <w:r>
        <w:rPr>
          <w:rFonts w:hint="eastAsia" w:ascii="宋体" w:hAnsi="宋体" w:cs="宋体"/>
          <w:color w:val="auto"/>
          <w:sz w:val="24"/>
          <w:szCs w:val="24"/>
          <w:highlight w:val="none"/>
        </w:rPr>
        <w:t>评标委员会：是指按照《中华人民共和国政府采购法》和《评标委员会和评标方法暂行规定》的规定组建的专门负责本次招标的评标工作的临时机构。</w:t>
      </w:r>
    </w:p>
    <w:p w14:paraId="428436AA">
      <w:pPr>
        <w:keepNext w:val="0"/>
        <w:keepLines w:val="0"/>
        <w:pageBreakBefore w:val="0"/>
        <w:widowControl w:val="0"/>
        <w:kinsoku/>
        <w:wordWrap/>
        <w:overflowPunct/>
        <w:topLinePunct w:val="0"/>
        <w:autoSpaceDE/>
        <w:autoSpaceDN/>
        <w:bidi w:val="0"/>
        <w:adjustRightInd/>
        <w:spacing w:line="360" w:lineRule="auto"/>
        <w:ind w:right="105" w:rightChars="50" w:firstLine="482" w:firstLineChars="200"/>
        <w:textAlignment w:val="auto"/>
        <w:rPr>
          <w:rFonts w:ascii="宋体"/>
          <w:color w:val="auto"/>
          <w:sz w:val="24"/>
          <w:szCs w:val="24"/>
          <w:highlight w:val="none"/>
        </w:rPr>
      </w:pPr>
      <w:r>
        <w:rPr>
          <w:rFonts w:ascii="宋体" w:hAnsi="宋体" w:cs="宋体"/>
          <w:b/>
          <w:bCs/>
          <w:color w:val="auto"/>
          <w:sz w:val="24"/>
          <w:szCs w:val="24"/>
          <w:highlight w:val="none"/>
        </w:rPr>
        <w:t>3.7</w:t>
      </w:r>
      <w:r>
        <w:rPr>
          <w:rFonts w:hint="eastAsia" w:ascii="宋体" w:hAnsi="宋体" w:cs="宋体"/>
          <w:color w:val="auto"/>
          <w:sz w:val="24"/>
          <w:szCs w:val="24"/>
          <w:highlight w:val="none"/>
        </w:rPr>
        <w:t>日期、天数、时间：无特别说明时是指公历日及北京时间。</w:t>
      </w:r>
    </w:p>
    <w:p w14:paraId="5EE9D6A1">
      <w:pPr>
        <w:keepNext w:val="0"/>
        <w:keepLines w:val="0"/>
        <w:pageBreakBefore w:val="0"/>
        <w:widowControl w:val="0"/>
        <w:kinsoku/>
        <w:wordWrap/>
        <w:overflowPunct/>
        <w:topLinePunct w:val="0"/>
        <w:autoSpaceDE/>
        <w:autoSpaceDN/>
        <w:bidi w:val="0"/>
        <w:adjustRightInd/>
        <w:spacing w:line="360" w:lineRule="auto"/>
        <w:ind w:right="105" w:rightChars="50" w:firstLine="482" w:firstLineChars="200"/>
        <w:textAlignment w:val="auto"/>
        <w:rPr>
          <w:rFonts w:ascii="宋体"/>
          <w:b/>
          <w:bCs/>
          <w:color w:val="auto"/>
          <w:sz w:val="24"/>
          <w:szCs w:val="24"/>
          <w:highlight w:val="none"/>
        </w:rPr>
      </w:pPr>
      <w:r>
        <w:rPr>
          <w:rFonts w:ascii="宋体" w:hAnsi="宋体" w:cs="宋体"/>
          <w:b/>
          <w:bCs/>
          <w:color w:val="auto"/>
          <w:sz w:val="24"/>
          <w:szCs w:val="24"/>
          <w:highlight w:val="none"/>
        </w:rPr>
        <w:t>3.8</w:t>
      </w:r>
      <w:r>
        <w:rPr>
          <w:rFonts w:hint="eastAsia" w:ascii="宋体" w:hAnsi="宋体" w:cs="宋体"/>
          <w:color w:val="auto"/>
          <w:sz w:val="24"/>
          <w:szCs w:val="24"/>
          <w:highlight w:val="none"/>
        </w:rPr>
        <w:t>招标文件中所规定的“书面形式”，是指任何手写的、打印或印刷的通讯，不包括传真发送。</w:t>
      </w:r>
    </w:p>
    <w:p w14:paraId="4C18981A">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val="0"/>
        <w:spacing w:line="360" w:lineRule="auto"/>
        <w:ind w:left="0" w:leftChars="0" w:right="105" w:rightChars="50" w:firstLine="482" w:firstLineChars="200"/>
        <w:textAlignment w:val="auto"/>
        <w:outlineLvl w:val="1"/>
        <w:rPr>
          <w:rFonts w:hint="eastAsia" w:ascii="宋体" w:hAnsi="宋体" w:cs="宋体"/>
          <w:b/>
          <w:bCs/>
          <w:color w:val="auto"/>
          <w:sz w:val="24"/>
          <w:szCs w:val="24"/>
          <w:highlight w:val="none"/>
        </w:rPr>
      </w:pPr>
      <w:bookmarkStart w:id="31" w:name="_Toc16807"/>
      <w:bookmarkStart w:id="32" w:name="_Toc17147"/>
      <w:r>
        <w:rPr>
          <w:rFonts w:hint="eastAsia" w:ascii="宋体" w:hAnsi="宋体" w:cs="宋体"/>
          <w:b/>
          <w:bCs/>
          <w:color w:val="auto"/>
          <w:sz w:val="24"/>
          <w:szCs w:val="24"/>
          <w:highlight w:val="none"/>
          <w:lang w:val="en-US" w:eastAsia="zh-CN"/>
        </w:rPr>
        <w:t>4、</w:t>
      </w:r>
      <w:r>
        <w:rPr>
          <w:rFonts w:hint="eastAsia" w:ascii="宋体" w:hAnsi="宋体" w:cs="宋体"/>
          <w:b/>
          <w:bCs/>
          <w:color w:val="auto"/>
          <w:sz w:val="24"/>
          <w:szCs w:val="24"/>
          <w:highlight w:val="none"/>
        </w:rPr>
        <w:t>合格的投标供应商</w:t>
      </w:r>
      <w:bookmarkEnd w:id="31"/>
      <w:bookmarkEnd w:id="32"/>
    </w:p>
    <w:p w14:paraId="0B5F299E">
      <w:pPr>
        <w:pStyle w:val="24"/>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详见第二章供应商须知前附表的规定</w:t>
      </w:r>
    </w:p>
    <w:p w14:paraId="51154537">
      <w:pPr>
        <w:keepNext w:val="0"/>
        <w:keepLines w:val="0"/>
        <w:pageBreakBefore w:val="0"/>
        <w:widowControl w:val="0"/>
        <w:shd w:val="clear" w:color="auto" w:fill="FFFFFF"/>
        <w:kinsoku/>
        <w:wordWrap/>
        <w:overflowPunct/>
        <w:topLinePunct w:val="0"/>
        <w:autoSpaceDE/>
        <w:autoSpaceDN/>
        <w:bidi w:val="0"/>
        <w:adjustRightInd/>
        <w:snapToGrid w:val="0"/>
        <w:spacing w:line="360" w:lineRule="auto"/>
        <w:ind w:right="105" w:rightChars="50" w:firstLine="482" w:firstLineChars="200"/>
        <w:textAlignment w:val="auto"/>
        <w:outlineLvl w:val="1"/>
        <w:rPr>
          <w:rFonts w:ascii="宋体"/>
          <w:b/>
          <w:bCs/>
          <w:color w:val="auto"/>
          <w:sz w:val="24"/>
          <w:szCs w:val="24"/>
          <w:highlight w:val="none"/>
        </w:rPr>
      </w:pPr>
      <w:bookmarkStart w:id="33" w:name="_Toc4672"/>
      <w:bookmarkStart w:id="34" w:name="_Toc6684"/>
      <w:r>
        <w:rPr>
          <w:rFonts w:ascii="宋体" w:hAnsi="宋体" w:cs="宋体"/>
          <w:b/>
          <w:bCs/>
          <w:color w:val="auto"/>
          <w:sz w:val="24"/>
          <w:szCs w:val="24"/>
          <w:highlight w:val="none"/>
        </w:rPr>
        <w:t>5</w:t>
      </w:r>
      <w:r>
        <w:rPr>
          <w:rFonts w:hint="eastAsia" w:ascii="宋体" w:hAnsi="宋体" w:cs="宋体"/>
          <w:b/>
          <w:bCs/>
          <w:color w:val="auto"/>
          <w:sz w:val="24"/>
          <w:szCs w:val="24"/>
          <w:highlight w:val="none"/>
        </w:rPr>
        <w:t>、保证</w:t>
      </w:r>
      <w:bookmarkEnd w:id="33"/>
      <w:bookmarkEnd w:id="34"/>
    </w:p>
    <w:p w14:paraId="1BE9999F">
      <w:pPr>
        <w:keepNext w:val="0"/>
        <w:keepLines w:val="0"/>
        <w:pageBreakBefore w:val="0"/>
        <w:widowControl w:val="0"/>
        <w:shd w:val="clear" w:color="auto" w:fill="FFFFFF"/>
        <w:kinsoku/>
        <w:wordWrap/>
        <w:overflowPunct/>
        <w:topLinePunct w:val="0"/>
        <w:autoSpaceDE/>
        <w:autoSpaceDN/>
        <w:bidi w:val="0"/>
        <w:adjustRightInd/>
        <w:snapToGrid w:val="0"/>
        <w:spacing w:line="360" w:lineRule="auto"/>
        <w:ind w:right="105" w:rightChars="50" w:firstLine="482" w:firstLineChars="200"/>
        <w:textAlignment w:val="auto"/>
        <w:rPr>
          <w:rFonts w:ascii="宋体"/>
          <w:color w:val="auto"/>
          <w:sz w:val="24"/>
          <w:szCs w:val="24"/>
          <w:highlight w:val="none"/>
        </w:rPr>
      </w:pPr>
      <w:r>
        <w:rPr>
          <w:rFonts w:ascii="宋体" w:hAnsi="宋体" w:cs="宋体"/>
          <w:b/>
          <w:bCs/>
          <w:color w:val="auto"/>
          <w:sz w:val="24"/>
          <w:szCs w:val="24"/>
          <w:highlight w:val="none"/>
        </w:rPr>
        <w:t>5.1</w:t>
      </w:r>
      <w:r>
        <w:rPr>
          <w:rFonts w:hint="eastAsia" w:ascii="宋体" w:hAnsi="宋体" w:cs="宋体"/>
          <w:color w:val="auto"/>
          <w:sz w:val="24"/>
          <w:szCs w:val="24"/>
          <w:highlight w:val="none"/>
        </w:rPr>
        <w:t>投标供应商应保证在投标文件中所提交的资料和数据是真实的。</w:t>
      </w:r>
    </w:p>
    <w:p w14:paraId="5998BB6E">
      <w:pPr>
        <w:shd w:val="clear" w:color="auto" w:fill="FFFFFF"/>
        <w:snapToGrid w:val="0"/>
        <w:spacing w:line="360" w:lineRule="auto"/>
        <w:ind w:right="105" w:rightChars="50" w:firstLine="3975" w:firstLineChars="1100"/>
        <w:outlineLvl w:val="0"/>
        <w:rPr>
          <w:rFonts w:hint="eastAsia" w:ascii="宋体" w:hAnsi="宋体" w:eastAsia="宋体" w:cs="宋体"/>
          <w:b/>
          <w:bCs/>
          <w:color w:val="auto"/>
          <w:sz w:val="36"/>
          <w:szCs w:val="36"/>
          <w:highlight w:val="none"/>
        </w:rPr>
      </w:pPr>
      <w:bookmarkStart w:id="35" w:name="_Toc3088"/>
      <w:bookmarkStart w:id="36" w:name="_Toc4778"/>
      <w:r>
        <w:rPr>
          <w:rFonts w:hint="eastAsia" w:ascii="宋体" w:hAnsi="宋体" w:eastAsia="宋体" w:cs="宋体"/>
          <w:b/>
          <w:bCs/>
          <w:color w:val="auto"/>
          <w:sz w:val="36"/>
          <w:szCs w:val="36"/>
          <w:highlight w:val="none"/>
        </w:rPr>
        <w:t>二、招标文件</w:t>
      </w:r>
      <w:bookmarkEnd w:id="35"/>
      <w:bookmarkEnd w:id="36"/>
    </w:p>
    <w:p w14:paraId="1D50FF24">
      <w:pPr>
        <w:keepNext w:val="0"/>
        <w:keepLines w:val="0"/>
        <w:pageBreakBefore w:val="0"/>
        <w:widowControl w:val="0"/>
        <w:shd w:val="clear" w:color="auto" w:fill="FFFFFF"/>
        <w:kinsoku/>
        <w:wordWrap/>
        <w:overflowPunct/>
        <w:topLinePunct w:val="0"/>
        <w:autoSpaceDE/>
        <w:autoSpaceDN/>
        <w:bidi w:val="0"/>
        <w:adjustRightInd/>
        <w:snapToGrid w:val="0"/>
        <w:spacing w:line="360" w:lineRule="auto"/>
        <w:ind w:right="105" w:rightChars="50" w:firstLine="482" w:firstLineChars="200"/>
        <w:textAlignment w:val="auto"/>
        <w:outlineLvl w:val="1"/>
        <w:rPr>
          <w:rFonts w:ascii="宋体"/>
          <w:color w:val="auto"/>
          <w:sz w:val="44"/>
          <w:szCs w:val="44"/>
          <w:highlight w:val="none"/>
        </w:rPr>
      </w:pPr>
      <w:bookmarkStart w:id="37" w:name="_Toc31864"/>
      <w:bookmarkStart w:id="38" w:name="_Toc20651"/>
      <w:r>
        <w:rPr>
          <w:rFonts w:ascii="宋体" w:hAnsi="宋体" w:cs="宋体"/>
          <w:b/>
          <w:bCs/>
          <w:color w:val="auto"/>
          <w:sz w:val="24"/>
          <w:szCs w:val="24"/>
          <w:highlight w:val="none"/>
        </w:rPr>
        <w:t>6</w:t>
      </w:r>
      <w:r>
        <w:rPr>
          <w:rFonts w:hint="eastAsia" w:ascii="宋体" w:hAnsi="宋体" w:cs="宋体"/>
          <w:b/>
          <w:bCs/>
          <w:color w:val="auto"/>
          <w:sz w:val="24"/>
          <w:szCs w:val="24"/>
          <w:highlight w:val="none"/>
        </w:rPr>
        <w:t>、招标文件的组成</w:t>
      </w:r>
      <w:bookmarkEnd w:id="37"/>
      <w:bookmarkEnd w:id="38"/>
    </w:p>
    <w:p w14:paraId="22B0E3CA">
      <w:pPr>
        <w:keepNext w:val="0"/>
        <w:keepLines w:val="0"/>
        <w:pageBreakBefore w:val="0"/>
        <w:widowControl w:val="0"/>
        <w:shd w:val="clear" w:color="auto" w:fill="FFFFFF"/>
        <w:kinsoku/>
        <w:wordWrap/>
        <w:overflowPunct/>
        <w:topLinePunct w:val="0"/>
        <w:autoSpaceDE/>
        <w:autoSpaceDN/>
        <w:bidi w:val="0"/>
        <w:adjustRightInd/>
        <w:snapToGrid w:val="0"/>
        <w:spacing w:line="360" w:lineRule="auto"/>
        <w:ind w:right="105" w:rightChars="50" w:firstLine="482" w:firstLineChars="200"/>
        <w:textAlignment w:val="auto"/>
        <w:rPr>
          <w:rFonts w:ascii="宋体"/>
          <w:color w:val="auto"/>
          <w:sz w:val="44"/>
          <w:szCs w:val="44"/>
          <w:highlight w:val="none"/>
        </w:rPr>
      </w:pPr>
      <w:r>
        <w:rPr>
          <w:rFonts w:ascii="宋体" w:hAnsi="宋体" w:cs="宋体"/>
          <w:b/>
          <w:bCs/>
          <w:color w:val="auto"/>
          <w:sz w:val="24"/>
          <w:szCs w:val="24"/>
          <w:highlight w:val="none"/>
        </w:rPr>
        <w:t>6.1</w:t>
      </w:r>
      <w:r>
        <w:rPr>
          <w:rFonts w:hint="eastAsia" w:ascii="宋体" w:hAnsi="宋体" w:cs="宋体"/>
          <w:color w:val="auto"/>
          <w:sz w:val="24"/>
          <w:szCs w:val="24"/>
          <w:highlight w:val="none"/>
        </w:rPr>
        <w:t>招标文件包括下列内容及按投标供应商须知第</w:t>
      </w:r>
      <w:r>
        <w:rPr>
          <w:rFonts w:ascii="宋体" w:hAnsi="宋体" w:cs="宋体"/>
          <w:color w:val="auto"/>
          <w:sz w:val="24"/>
          <w:szCs w:val="24"/>
          <w:highlight w:val="none"/>
        </w:rPr>
        <w:t>7</w:t>
      </w:r>
      <w:r>
        <w:rPr>
          <w:rFonts w:hint="eastAsia" w:ascii="宋体" w:hAnsi="宋体" w:cs="宋体"/>
          <w:color w:val="auto"/>
          <w:sz w:val="24"/>
          <w:szCs w:val="24"/>
          <w:highlight w:val="none"/>
        </w:rPr>
        <w:t>条款内容发出的答疑文件和第</w:t>
      </w:r>
      <w:r>
        <w:rPr>
          <w:rFonts w:ascii="宋体" w:hAnsi="宋体" w:cs="宋体"/>
          <w:color w:val="auto"/>
          <w:sz w:val="24"/>
          <w:szCs w:val="24"/>
          <w:highlight w:val="none"/>
        </w:rPr>
        <w:t>8</w:t>
      </w:r>
      <w:r>
        <w:rPr>
          <w:rFonts w:hint="eastAsia" w:ascii="宋体" w:hAnsi="宋体" w:cs="宋体"/>
          <w:color w:val="auto"/>
          <w:sz w:val="24"/>
          <w:szCs w:val="24"/>
          <w:highlight w:val="none"/>
        </w:rPr>
        <w:t>条款内容发出的补充文件。</w:t>
      </w:r>
    </w:p>
    <w:p w14:paraId="253D4AA8">
      <w:pPr>
        <w:shd w:val="clear" w:color="auto" w:fill="FFFFFF"/>
        <w:snapToGrid w:val="0"/>
        <w:spacing w:line="360" w:lineRule="auto"/>
        <w:ind w:right="105" w:rightChars="50" w:firstLine="480" w:firstLineChars="200"/>
        <w:rPr>
          <w:rFonts w:ascii="宋体"/>
          <w:color w:val="auto"/>
          <w:sz w:val="24"/>
          <w:szCs w:val="24"/>
          <w:highlight w:val="none"/>
        </w:rPr>
      </w:pPr>
      <w:r>
        <w:rPr>
          <w:rFonts w:hint="eastAsia" w:ascii="宋体" w:hAnsi="宋体" w:cs="宋体"/>
          <w:color w:val="auto"/>
          <w:sz w:val="24"/>
          <w:szCs w:val="24"/>
          <w:highlight w:val="none"/>
        </w:rPr>
        <w:t>第一章</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招标公告</w:t>
      </w:r>
    </w:p>
    <w:p w14:paraId="47755F02">
      <w:pPr>
        <w:shd w:val="clear" w:color="auto" w:fill="FFFFFF"/>
        <w:snapToGrid w:val="0"/>
        <w:spacing w:line="360" w:lineRule="auto"/>
        <w:ind w:right="105" w:rightChars="50" w:firstLine="480" w:firstLineChars="200"/>
        <w:rPr>
          <w:rFonts w:ascii="宋体"/>
          <w:color w:val="auto"/>
          <w:sz w:val="24"/>
          <w:szCs w:val="24"/>
          <w:highlight w:val="none"/>
        </w:rPr>
      </w:pPr>
      <w:r>
        <w:rPr>
          <w:rFonts w:hint="eastAsia" w:ascii="宋体" w:hAnsi="宋体" w:cs="宋体"/>
          <w:color w:val="auto"/>
          <w:sz w:val="24"/>
          <w:szCs w:val="24"/>
          <w:highlight w:val="none"/>
        </w:rPr>
        <w:t>第二章</w:t>
      </w:r>
      <w:r>
        <w:rPr>
          <w:rFonts w:hint="eastAsia" w:ascii="宋体"/>
          <w:color w:val="auto"/>
          <w:sz w:val="24"/>
          <w:szCs w:val="24"/>
          <w:highlight w:val="none"/>
        </w:rPr>
        <w:t xml:space="preserve"> </w:t>
      </w:r>
      <w:r>
        <w:rPr>
          <w:rFonts w:hint="eastAsia" w:ascii="宋体" w:hAnsi="宋体" w:cs="宋体"/>
          <w:color w:val="auto"/>
          <w:sz w:val="24"/>
          <w:szCs w:val="24"/>
          <w:highlight w:val="none"/>
        </w:rPr>
        <w:t>供应商须知</w:t>
      </w:r>
    </w:p>
    <w:p w14:paraId="66472FA5">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第三章</w:t>
      </w:r>
      <w:r>
        <w:rPr>
          <w:rFonts w:hint="eastAsia" w:ascii="宋体" w:hAnsi="宋体" w:cs="宋体"/>
          <w:color w:val="auto"/>
          <w:sz w:val="24"/>
          <w:szCs w:val="24"/>
          <w:highlight w:val="none"/>
          <w:lang w:val="en-US" w:eastAsia="zh-CN"/>
        </w:rPr>
        <w:t xml:space="preserve"> 采购</w:t>
      </w:r>
      <w:r>
        <w:rPr>
          <w:rFonts w:hint="eastAsia" w:ascii="宋体" w:hAnsi="宋体" w:cs="宋体"/>
          <w:color w:val="auto"/>
          <w:sz w:val="24"/>
          <w:szCs w:val="24"/>
          <w:highlight w:val="none"/>
        </w:rPr>
        <w:t>内容及</w:t>
      </w:r>
      <w:r>
        <w:rPr>
          <w:rFonts w:hint="eastAsia" w:ascii="宋体" w:hAnsi="宋体" w:cs="宋体"/>
          <w:color w:val="auto"/>
          <w:sz w:val="24"/>
          <w:szCs w:val="24"/>
          <w:highlight w:val="none"/>
          <w:lang w:val="en-US" w:eastAsia="zh-CN"/>
        </w:rPr>
        <w:t>要求</w:t>
      </w:r>
    </w:p>
    <w:p w14:paraId="0464F599">
      <w:pPr>
        <w:shd w:val="clear" w:color="auto" w:fill="FFFFFF"/>
        <w:snapToGrid w:val="0"/>
        <w:spacing w:line="360" w:lineRule="auto"/>
        <w:ind w:right="105" w:rightChars="50" w:firstLine="480" w:firstLineChars="200"/>
        <w:rPr>
          <w:rFonts w:ascii="宋体"/>
          <w:color w:val="auto"/>
          <w:sz w:val="24"/>
          <w:szCs w:val="24"/>
          <w:highlight w:val="none"/>
        </w:rPr>
      </w:pPr>
      <w:r>
        <w:rPr>
          <w:rFonts w:hint="eastAsia" w:ascii="宋体" w:hAnsi="宋体" w:cs="宋体"/>
          <w:color w:val="auto"/>
          <w:sz w:val="24"/>
          <w:szCs w:val="24"/>
          <w:highlight w:val="none"/>
        </w:rPr>
        <w:t>第四章</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评标办法</w:t>
      </w:r>
    </w:p>
    <w:p w14:paraId="2D3A5199">
      <w:pPr>
        <w:shd w:val="clear" w:color="auto" w:fill="FFFFFF"/>
        <w:snapToGrid w:val="0"/>
        <w:spacing w:line="360" w:lineRule="auto"/>
        <w:ind w:right="105" w:rightChars="50" w:firstLine="480" w:firstLineChars="200"/>
        <w:rPr>
          <w:rFonts w:ascii="宋体"/>
          <w:color w:val="auto"/>
          <w:sz w:val="24"/>
          <w:szCs w:val="24"/>
          <w:highlight w:val="none"/>
        </w:rPr>
      </w:pPr>
      <w:r>
        <w:rPr>
          <w:rFonts w:hint="eastAsia" w:ascii="宋体" w:hAnsi="宋体" w:cs="宋体"/>
          <w:color w:val="auto"/>
          <w:sz w:val="24"/>
          <w:szCs w:val="24"/>
          <w:highlight w:val="none"/>
        </w:rPr>
        <w:t>第五章</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合同条款及格式</w:t>
      </w:r>
    </w:p>
    <w:p w14:paraId="6880CACF">
      <w:pPr>
        <w:shd w:val="clear" w:color="auto" w:fill="FFFFFF"/>
        <w:snapToGrid w:val="0"/>
        <w:spacing w:line="360" w:lineRule="auto"/>
        <w:ind w:right="105" w:rightChars="50" w:firstLine="480" w:firstLineChars="200"/>
        <w:rPr>
          <w:rFonts w:ascii="宋体"/>
          <w:color w:val="auto"/>
          <w:sz w:val="24"/>
          <w:szCs w:val="24"/>
          <w:highlight w:val="none"/>
        </w:rPr>
      </w:pPr>
      <w:r>
        <w:rPr>
          <w:rFonts w:hint="eastAsia" w:ascii="宋体" w:hAnsi="宋体" w:cs="宋体"/>
          <w:color w:val="auto"/>
          <w:sz w:val="24"/>
          <w:szCs w:val="24"/>
          <w:highlight w:val="none"/>
        </w:rPr>
        <w:t>第六章</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投标文件格式</w:t>
      </w:r>
    </w:p>
    <w:p w14:paraId="3DE66FBC">
      <w:pPr>
        <w:keepNext w:val="0"/>
        <w:keepLines w:val="0"/>
        <w:pageBreakBefore w:val="0"/>
        <w:widowControl w:val="0"/>
        <w:shd w:val="clear" w:color="auto" w:fill="FFFFFF"/>
        <w:kinsoku/>
        <w:overflowPunct/>
        <w:topLinePunct w:val="0"/>
        <w:bidi w:val="0"/>
        <w:snapToGrid w:val="0"/>
        <w:spacing w:line="360" w:lineRule="auto"/>
        <w:ind w:right="105" w:rightChars="50" w:firstLine="482" w:firstLineChars="200"/>
        <w:textAlignment w:val="auto"/>
        <w:rPr>
          <w:rFonts w:ascii="宋体"/>
          <w:color w:val="auto"/>
          <w:sz w:val="24"/>
          <w:szCs w:val="24"/>
          <w:highlight w:val="none"/>
        </w:rPr>
      </w:pPr>
      <w:r>
        <w:rPr>
          <w:rFonts w:ascii="宋体" w:hAnsi="宋体" w:cs="宋体"/>
          <w:b/>
          <w:bCs/>
          <w:color w:val="auto"/>
          <w:sz w:val="24"/>
          <w:szCs w:val="24"/>
          <w:highlight w:val="none"/>
        </w:rPr>
        <w:t>6.2</w:t>
      </w:r>
      <w:r>
        <w:rPr>
          <w:rFonts w:hint="eastAsia" w:ascii="宋体" w:hAnsi="宋体" w:cs="宋体"/>
          <w:color w:val="auto"/>
          <w:sz w:val="24"/>
          <w:szCs w:val="24"/>
          <w:highlight w:val="none"/>
        </w:rPr>
        <w:t>投标供应商应详细阅读招标文件中的所有条款内容、格式、表格和所涉及的相关规范。如果投标供应商不按招标文件的要求提交投标文件和资料的，或者投标文件没有对招标文件提出的实质性要求和条件作出响应，将导致投标文件不被接受，其后果由投标供应商自己负责。</w:t>
      </w:r>
    </w:p>
    <w:p w14:paraId="7EE5C047">
      <w:pPr>
        <w:keepNext w:val="0"/>
        <w:keepLines w:val="0"/>
        <w:pageBreakBefore w:val="0"/>
        <w:widowControl w:val="0"/>
        <w:shd w:val="clear" w:color="auto" w:fill="FFFFFF"/>
        <w:kinsoku/>
        <w:overflowPunct/>
        <w:topLinePunct w:val="0"/>
        <w:bidi w:val="0"/>
        <w:snapToGrid w:val="0"/>
        <w:spacing w:line="360" w:lineRule="auto"/>
        <w:ind w:right="105" w:rightChars="50" w:firstLine="482" w:firstLineChars="200"/>
        <w:textAlignment w:val="auto"/>
        <w:outlineLvl w:val="1"/>
        <w:rPr>
          <w:rFonts w:ascii="宋体"/>
          <w:color w:val="auto"/>
          <w:sz w:val="24"/>
          <w:szCs w:val="24"/>
          <w:highlight w:val="none"/>
        </w:rPr>
      </w:pPr>
      <w:bookmarkStart w:id="39" w:name="_Toc5031"/>
      <w:bookmarkStart w:id="40" w:name="_Toc22361"/>
      <w:r>
        <w:rPr>
          <w:rFonts w:ascii="宋体" w:hAnsi="宋体" w:cs="宋体"/>
          <w:b/>
          <w:bCs/>
          <w:color w:val="auto"/>
          <w:sz w:val="24"/>
          <w:szCs w:val="24"/>
          <w:highlight w:val="none"/>
        </w:rPr>
        <w:t>7</w:t>
      </w:r>
      <w:r>
        <w:rPr>
          <w:rFonts w:hint="eastAsia" w:ascii="宋体" w:hAnsi="宋体" w:cs="宋体"/>
          <w:b/>
          <w:bCs/>
          <w:color w:val="auto"/>
          <w:sz w:val="24"/>
          <w:szCs w:val="24"/>
          <w:highlight w:val="none"/>
        </w:rPr>
        <w:t>、招标文件的澄清</w:t>
      </w:r>
      <w:bookmarkEnd w:id="39"/>
      <w:bookmarkEnd w:id="40"/>
    </w:p>
    <w:p w14:paraId="09101A21">
      <w:pPr>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jc w:val="left"/>
        <w:textAlignment w:val="auto"/>
        <w:rPr>
          <w:rStyle w:val="26"/>
          <w:rFonts w:ascii="宋体" w:hAnsi="宋体" w:eastAsia="宋体" w:cs="Times New Roman"/>
          <w:color w:val="auto"/>
          <w:kern w:val="0"/>
          <w:sz w:val="24"/>
          <w:szCs w:val="24"/>
          <w:highlight w:val="none"/>
        </w:rPr>
      </w:pPr>
      <w:r>
        <w:rPr>
          <w:rStyle w:val="26"/>
          <w:rFonts w:hint="eastAsia" w:ascii="宋体" w:hAnsi="宋体" w:eastAsia="宋体" w:cs="Times New Roman"/>
          <w:color w:val="auto"/>
          <w:kern w:val="0"/>
          <w:sz w:val="24"/>
          <w:szCs w:val="24"/>
          <w:highlight w:val="none"/>
          <w:lang w:val="en-US" w:eastAsia="zh-CN"/>
        </w:rPr>
        <w:t>7.1</w:t>
      </w:r>
      <w:r>
        <w:rPr>
          <w:rStyle w:val="26"/>
          <w:rFonts w:ascii="宋体" w:hAnsi="宋体" w:eastAsia="宋体" w:cs="Times New Roman"/>
          <w:color w:val="auto"/>
          <w:kern w:val="0"/>
          <w:sz w:val="24"/>
          <w:szCs w:val="24"/>
          <w:highlight w:val="none"/>
        </w:rPr>
        <w:t>投标人应仔细阅读和检查招标文件的全部内容。如发现缺页或附件不全，应及时向</w:t>
      </w:r>
      <w:r>
        <w:rPr>
          <w:rStyle w:val="26"/>
          <w:rFonts w:hint="eastAsia" w:ascii="宋体" w:hAnsi="宋体" w:eastAsia="宋体" w:cs="Times New Roman"/>
          <w:color w:val="auto"/>
          <w:kern w:val="0"/>
          <w:sz w:val="24"/>
          <w:szCs w:val="24"/>
          <w:highlight w:val="none"/>
          <w:lang w:val="en-US" w:eastAsia="zh-CN"/>
        </w:rPr>
        <w:t>采购</w:t>
      </w:r>
      <w:r>
        <w:rPr>
          <w:rStyle w:val="26"/>
          <w:rFonts w:ascii="宋体" w:hAnsi="宋体" w:eastAsia="宋体" w:cs="Times New Roman"/>
          <w:color w:val="auto"/>
          <w:kern w:val="0"/>
          <w:sz w:val="24"/>
          <w:szCs w:val="24"/>
          <w:highlight w:val="none"/>
        </w:rPr>
        <w:t>人提出，以便补齐。如有疑问，应在投标截止时间1</w:t>
      </w:r>
      <w:r>
        <w:rPr>
          <w:rStyle w:val="26"/>
          <w:rFonts w:hint="eastAsia" w:ascii="宋体" w:hAnsi="宋体" w:eastAsia="宋体" w:cs="Times New Roman"/>
          <w:color w:val="auto"/>
          <w:kern w:val="0"/>
          <w:sz w:val="24"/>
          <w:szCs w:val="24"/>
          <w:highlight w:val="none"/>
        </w:rPr>
        <w:t>0</w:t>
      </w:r>
      <w:r>
        <w:rPr>
          <w:rStyle w:val="26"/>
          <w:rFonts w:hint="eastAsia" w:ascii="宋体" w:hAnsi="宋体" w:eastAsia="宋体" w:cs="Times New Roman"/>
          <w:color w:val="auto"/>
          <w:kern w:val="0"/>
          <w:sz w:val="24"/>
          <w:szCs w:val="24"/>
          <w:highlight w:val="none"/>
          <w:lang w:val="en-US" w:eastAsia="zh-CN"/>
        </w:rPr>
        <w:t>日</w:t>
      </w:r>
      <w:r>
        <w:rPr>
          <w:rStyle w:val="26"/>
          <w:rFonts w:ascii="宋体" w:hAnsi="宋体" w:eastAsia="宋体" w:cs="Times New Roman"/>
          <w:color w:val="auto"/>
          <w:kern w:val="0"/>
          <w:sz w:val="24"/>
          <w:szCs w:val="24"/>
          <w:highlight w:val="none"/>
        </w:rPr>
        <w:t>前登录三门峡市公共资源交易中心网（</w:t>
      </w:r>
      <w:r>
        <w:rPr>
          <w:rStyle w:val="26"/>
          <w:rFonts w:hint="eastAsia" w:ascii="宋体" w:hAnsi="宋体" w:eastAsia="宋体" w:cs="Times New Roman"/>
          <w:color w:val="auto"/>
          <w:kern w:val="0"/>
          <w:sz w:val="24"/>
          <w:szCs w:val="24"/>
          <w:highlight w:val="none"/>
        </w:rPr>
        <w:t>http://gzjy.smx.gov.cn</w:t>
      </w:r>
      <w:r>
        <w:rPr>
          <w:rStyle w:val="26"/>
          <w:rFonts w:ascii="宋体" w:hAnsi="宋体" w:eastAsia="宋体" w:cs="Times New Roman"/>
          <w:color w:val="auto"/>
          <w:kern w:val="0"/>
          <w:sz w:val="24"/>
          <w:szCs w:val="24"/>
          <w:highlight w:val="none"/>
        </w:rPr>
        <w:t>），在网上向</w:t>
      </w:r>
      <w:r>
        <w:rPr>
          <w:rStyle w:val="26"/>
          <w:rFonts w:hint="eastAsia" w:ascii="宋体" w:hAnsi="宋体" w:eastAsia="宋体" w:cs="Times New Roman"/>
          <w:color w:val="auto"/>
          <w:kern w:val="0"/>
          <w:sz w:val="24"/>
          <w:szCs w:val="24"/>
          <w:highlight w:val="none"/>
          <w:lang w:val="en-US" w:eastAsia="zh-CN"/>
        </w:rPr>
        <w:t>采购</w:t>
      </w:r>
      <w:r>
        <w:rPr>
          <w:rStyle w:val="26"/>
          <w:rFonts w:ascii="宋体" w:hAnsi="宋体" w:eastAsia="宋体" w:cs="Times New Roman"/>
          <w:color w:val="auto"/>
          <w:kern w:val="0"/>
          <w:sz w:val="24"/>
          <w:szCs w:val="24"/>
          <w:highlight w:val="none"/>
        </w:rPr>
        <w:t>人提出澄清要求，要求</w:t>
      </w:r>
      <w:r>
        <w:rPr>
          <w:rStyle w:val="26"/>
          <w:rFonts w:hint="eastAsia" w:ascii="宋体" w:hAnsi="宋体" w:eastAsia="宋体" w:cs="Times New Roman"/>
          <w:color w:val="auto"/>
          <w:kern w:val="0"/>
          <w:sz w:val="24"/>
          <w:szCs w:val="24"/>
          <w:highlight w:val="none"/>
          <w:lang w:val="en-US" w:eastAsia="zh-CN"/>
        </w:rPr>
        <w:t>采购</w:t>
      </w:r>
      <w:r>
        <w:rPr>
          <w:rStyle w:val="26"/>
          <w:rFonts w:ascii="宋体" w:hAnsi="宋体" w:eastAsia="宋体" w:cs="Times New Roman"/>
          <w:color w:val="auto"/>
          <w:kern w:val="0"/>
          <w:sz w:val="24"/>
          <w:szCs w:val="24"/>
          <w:highlight w:val="none"/>
        </w:rPr>
        <w:t>人对招标文件予以澄清。</w:t>
      </w:r>
    </w:p>
    <w:p w14:paraId="1AD280AA">
      <w:pPr>
        <w:keepNext w:val="0"/>
        <w:keepLines w:val="0"/>
        <w:pageBreakBefore w:val="0"/>
        <w:widowControl w:val="0"/>
        <w:kinsoku/>
        <w:wordWrap w:val="0"/>
        <w:overflowPunct/>
        <w:topLinePunct w:val="0"/>
        <w:autoSpaceDE w:val="0"/>
        <w:autoSpaceDN w:val="0"/>
        <w:bidi w:val="0"/>
        <w:adjustRightInd w:val="0"/>
        <w:snapToGrid/>
        <w:spacing w:line="360" w:lineRule="auto"/>
        <w:ind w:firstLine="616" w:firstLineChars="257"/>
        <w:jc w:val="left"/>
        <w:textAlignment w:val="auto"/>
        <w:rPr>
          <w:rStyle w:val="26"/>
          <w:rFonts w:ascii="宋体" w:hAnsi="宋体" w:eastAsia="宋体" w:cs="Times New Roman"/>
          <w:color w:val="auto"/>
          <w:kern w:val="0"/>
          <w:sz w:val="24"/>
          <w:szCs w:val="24"/>
          <w:highlight w:val="none"/>
        </w:rPr>
      </w:pPr>
      <w:r>
        <w:rPr>
          <w:rStyle w:val="26"/>
          <w:rFonts w:hint="eastAsia" w:ascii="宋体" w:hAnsi="宋体" w:eastAsia="宋体" w:cs="Times New Roman"/>
          <w:color w:val="auto"/>
          <w:kern w:val="0"/>
          <w:sz w:val="24"/>
          <w:szCs w:val="24"/>
          <w:highlight w:val="none"/>
          <w:lang w:val="en-US" w:eastAsia="zh-CN"/>
        </w:rPr>
        <w:t>7.2</w:t>
      </w:r>
      <w:r>
        <w:rPr>
          <w:rStyle w:val="26"/>
          <w:rFonts w:hint="eastAsia" w:ascii="宋体" w:hAnsi="宋体" w:eastAsia="宋体" w:cs="Times New Roman"/>
          <w:color w:val="auto"/>
          <w:kern w:val="0"/>
          <w:sz w:val="24"/>
          <w:szCs w:val="24"/>
          <w:highlight w:val="none"/>
        </w:rPr>
        <w:t xml:space="preserve"> </w:t>
      </w:r>
      <w:r>
        <w:rPr>
          <w:rStyle w:val="26"/>
          <w:rFonts w:hint="eastAsia" w:ascii="宋体" w:hAnsi="宋体" w:eastAsia="宋体" w:cs="Times New Roman"/>
          <w:color w:val="auto"/>
          <w:kern w:val="0"/>
          <w:sz w:val="24"/>
          <w:szCs w:val="24"/>
          <w:highlight w:val="none"/>
          <w:lang w:val="en-US" w:eastAsia="zh-CN"/>
        </w:rPr>
        <w:t>采购</w:t>
      </w:r>
      <w:r>
        <w:rPr>
          <w:rStyle w:val="26"/>
          <w:rFonts w:hint="eastAsia" w:ascii="宋体" w:hAnsi="宋体" w:eastAsia="宋体" w:cs="Times New Roman"/>
          <w:color w:val="auto"/>
          <w:kern w:val="0"/>
          <w:sz w:val="24"/>
          <w:szCs w:val="24"/>
          <w:highlight w:val="none"/>
        </w:rPr>
        <w:t>人的</w:t>
      </w:r>
      <w:r>
        <w:rPr>
          <w:rStyle w:val="26"/>
          <w:rFonts w:ascii="宋体" w:hAnsi="宋体" w:eastAsia="宋体" w:cs="Times New Roman"/>
          <w:color w:val="auto"/>
          <w:kern w:val="0"/>
          <w:sz w:val="24"/>
          <w:szCs w:val="24"/>
          <w:highlight w:val="none"/>
        </w:rPr>
        <w:t>澄清将在投标截止时间1</w:t>
      </w:r>
      <w:r>
        <w:rPr>
          <w:rStyle w:val="26"/>
          <w:rFonts w:hint="eastAsia" w:ascii="宋体" w:hAnsi="宋体" w:eastAsia="宋体" w:cs="Times New Roman"/>
          <w:color w:val="auto"/>
          <w:kern w:val="0"/>
          <w:sz w:val="24"/>
          <w:szCs w:val="24"/>
          <w:highlight w:val="none"/>
          <w:lang w:val="en-US" w:eastAsia="zh-CN"/>
        </w:rPr>
        <w:t>5</w:t>
      </w:r>
      <w:r>
        <w:rPr>
          <w:rStyle w:val="26"/>
          <w:rFonts w:hint="eastAsia" w:ascii="宋体" w:hAnsi="宋体" w:eastAsia="宋体" w:cs="Times New Roman"/>
          <w:color w:val="auto"/>
          <w:kern w:val="0"/>
          <w:sz w:val="24"/>
          <w:szCs w:val="24"/>
          <w:highlight w:val="none"/>
        </w:rPr>
        <w:t>日</w:t>
      </w:r>
      <w:r>
        <w:rPr>
          <w:rStyle w:val="26"/>
          <w:rFonts w:ascii="宋体" w:hAnsi="宋体" w:eastAsia="宋体" w:cs="Times New Roman"/>
          <w:color w:val="auto"/>
          <w:kern w:val="0"/>
          <w:sz w:val="24"/>
          <w:szCs w:val="24"/>
          <w:highlight w:val="none"/>
        </w:rPr>
        <w:t>前</w:t>
      </w:r>
      <w:r>
        <w:rPr>
          <w:rStyle w:val="26"/>
          <w:rFonts w:hint="eastAsia" w:ascii="宋体" w:hAnsi="宋体" w:eastAsia="宋体" w:cs="Times New Roman"/>
          <w:color w:val="auto"/>
          <w:kern w:val="0"/>
          <w:sz w:val="24"/>
          <w:szCs w:val="24"/>
          <w:highlight w:val="none"/>
        </w:rPr>
        <w:t>，</w:t>
      </w:r>
      <w:r>
        <w:rPr>
          <w:rStyle w:val="26"/>
          <w:rFonts w:ascii="宋体" w:hAnsi="宋体" w:eastAsia="宋体" w:cs="Times New Roman"/>
          <w:color w:val="auto"/>
          <w:kern w:val="0"/>
          <w:sz w:val="24"/>
          <w:szCs w:val="24"/>
          <w:highlight w:val="none"/>
        </w:rPr>
        <w:t>在三门峡市公共资源交易中心网（</w:t>
      </w:r>
      <w:r>
        <w:rPr>
          <w:rStyle w:val="26"/>
          <w:rFonts w:hint="eastAsia" w:ascii="宋体" w:hAnsi="宋体" w:eastAsia="宋体" w:cs="Times New Roman"/>
          <w:color w:val="auto"/>
          <w:kern w:val="0"/>
          <w:sz w:val="24"/>
          <w:szCs w:val="24"/>
          <w:highlight w:val="none"/>
        </w:rPr>
        <w:t>http://gzjy.smx.gov.cn</w:t>
      </w:r>
      <w:r>
        <w:rPr>
          <w:rStyle w:val="26"/>
          <w:rFonts w:ascii="宋体" w:hAnsi="宋体" w:eastAsia="宋体" w:cs="Times New Roman"/>
          <w:color w:val="auto"/>
          <w:kern w:val="0"/>
          <w:sz w:val="24"/>
          <w:szCs w:val="24"/>
          <w:highlight w:val="none"/>
        </w:rPr>
        <w:t>）以网上形式通知所有</w:t>
      </w:r>
      <w:r>
        <w:rPr>
          <w:rStyle w:val="26"/>
          <w:rFonts w:hint="eastAsia" w:ascii="宋体" w:hAnsi="宋体" w:eastAsia="宋体" w:cs="Times New Roman"/>
          <w:color w:val="auto"/>
          <w:kern w:val="0"/>
          <w:sz w:val="24"/>
          <w:szCs w:val="24"/>
          <w:highlight w:val="none"/>
        </w:rPr>
        <w:t>下载</w:t>
      </w:r>
      <w:r>
        <w:rPr>
          <w:rStyle w:val="26"/>
          <w:rFonts w:ascii="宋体" w:hAnsi="宋体" w:eastAsia="宋体" w:cs="Times New Roman"/>
          <w:color w:val="auto"/>
          <w:kern w:val="0"/>
          <w:sz w:val="24"/>
          <w:szCs w:val="24"/>
          <w:highlight w:val="none"/>
        </w:rPr>
        <w:t>招标文件的投标人，但不指明澄清问题的来源。</w:t>
      </w:r>
    </w:p>
    <w:p w14:paraId="0CD84872">
      <w:pPr>
        <w:keepNext w:val="0"/>
        <w:keepLines w:val="0"/>
        <w:pageBreakBefore w:val="0"/>
        <w:widowControl w:val="0"/>
        <w:kinsoku/>
        <w:wordWrap w:val="0"/>
        <w:overflowPunct/>
        <w:topLinePunct w:val="0"/>
        <w:autoSpaceDE w:val="0"/>
        <w:autoSpaceDN w:val="0"/>
        <w:bidi w:val="0"/>
        <w:adjustRightInd w:val="0"/>
        <w:snapToGrid/>
        <w:spacing w:line="360" w:lineRule="auto"/>
        <w:ind w:firstLine="616" w:firstLineChars="257"/>
        <w:jc w:val="left"/>
        <w:textAlignment w:val="auto"/>
        <w:rPr>
          <w:rFonts w:ascii="宋体"/>
          <w:color w:val="auto"/>
          <w:sz w:val="24"/>
          <w:szCs w:val="24"/>
          <w:highlight w:val="none"/>
        </w:rPr>
      </w:pPr>
      <w:r>
        <w:rPr>
          <w:rStyle w:val="26"/>
          <w:rFonts w:hint="eastAsia" w:ascii="宋体" w:hAnsi="宋体"/>
          <w:color w:val="auto"/>
          <w:kern w:val="0"/>
          <w:sz w:val="24"/>
          <w:szCs w:val="24"/>
          <w:highlight w:val="none"/>
          <w:lang w:val="en-US" w:eastAsia="zh-CN"/>
        </w:rPr>
        <w:t>7.3</w:t>
      </w:r>
      <w:r>
        <w:rPr>
          <w:rStyle w:val="26"/>
          <w:rFonts w:ascii="宋体" w:hAnsi="宋体"/>
          <w:color w:val="auto"/>
          <w:kern w:val="0"/>
          <w:sz w:val="24"/>
          <w:szCs w:val="24"/>
          <w:highlight w:val="none"/>
        </w:rPr>
        <w:t>投标人应注意及时浏览网上发布的澄清和修改通知并下载，因投标人原因未及时获知澄清、修改内容而导致的任何后果，概由投标人自己承担。</w:t>
      </w:r>
    </w:p>
    <w:p w14:paraId="3E338CDD">
      <w:pPr>
        <w:keepNext w:val="0"/>
        <w:keepLines w:val="0"/>
        <w:pageBreakBefore w:val="0"/>
        <w:widowControl w:val="0"/>
        <w:shd w:val="clear" w:color="auto" w:fill="FFFFFF"/>
        <w:kinsoku/>
        <w:wordWrap/>
        <w:overflowPunct/>
        <w:topLinePunct w:val="0"/>
        <w:bidi w:val="0"/>
        <w:snapToGrid w:val="0"/>
        <w:spacing w:line="360" w:lineRule="auto"/>
        <w:ind w:right="105" w:rightChars="50" w:firstLine="482" w:firstLineChars="200"/>
        <w:textAlignment w:val="auto"/>
        <w:outlineLvl w:val="1"/>
        <w:rPr>
          <w:rFonts w:ascii="宋体"/>
          <w:color w:val="auto"/>
          <w:sz w:val="24"/>
          <w:szCs w:val="24"/>
          <w:highlight w:val="none"/>
        </w:rPr>
      </w:pPr>
      <w:bookmarkStart w:id="41" w:name="_Toc20240"/>
      <w:bookmarkStart w:id="42" w:name="_Toc6699"/>
      <w:r>
        <w:rPr>
          <w:rFonts w:ascii="宋体" w:hAnsi="宋体" w:cs="宋体"/>
          <w:b/>
          <w:bCs/>
          <w:color w:val="auto"/>
          <w:sz w:val="24"/>
          <w:szCs w:val="24"/>
          <w:highlight w:val="none"/>
        </w:rPr>
        <w:t>8</w:t>
      </w:r>
      <w:r>
        <w:rPr>
          <w:rFonts w:hint="eastAsia" w:ascii="宋体" w:hAnsi="宋体" w:cs="宋体"/>
          <w:b/>
          <w:bCs/>
          <w:color w:val="auto"/>
          <w:sz w:val="24"/>
          <w:szCs w:val="24"/>
          <w:highlight w:val="none"/>
        </w:rPr>
        <w:t>、招标文件的修正</w:t>
      </w:r>
      <w:bookmarkEnd w:id="41"/>
      <w:bookmarkEnd w:id="42"/>
    </w:p>
    <w:p w14:paraId="5FD7ED5E">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Style w:val="26"/>
          <w:rFonts w:ascii="宋体" w:hAnsi="宋体" w:eastAsia="宋体" w:cs="Times New Roman"/>
          <w:color w:val="auto"/>
          <w:kern w:val="0"/>
          <w:sz w:val="24"/>
          <w:szCs w:val="24"/>
          <w:highlight w:val="none"/>
        </w:rPr>
      </w:pPr>
      <w:r>
        <w:rPr>
          <w:rStyle w:val="26"/>
          <w:rFonts w:hint="eastAsia" w:ascii="宋体" w:hAnsi="宋体" w:eastAsia="宋体" w:cs="Times New Roman"/>
          <w:color w:val="auto"/>
          <w:kern w:val="0"/>
          <w:sz w:val="24"/>
          <w:szCs w:val="24"/>
          <w:highlight w:val="none"/>
          <w:lang w:val="en-US" w:eastAsia="zh-CN"/>
        </w:rPr>
        <w:t>8.1</w:t>
      </w:r>
      <w:r>
        <w:rPr>
          <w:rStyle w:val="26"/>
          <w:rFonts w:ascii="宋体" w:hAnsi="宋体" w:eastAsia="宋体" w:cs="Times New Roman"/>
          <w:color w:val="auto"/>
          <w:kern w:val="0"/>
          <w:sz w:val="24"/>
          <w:szCs w:val="24"/>
          <w:highlight w:val="none"/>
        </w:rPr>
        <w:t>在投标截止时间1</w:t>
      </w:r>
      <w:r>
        <w:rPr>
          <w:rStyle w:val="26"/>
          <w:rFonts w:hint="eastAsia" w:ascii="宋体" w:hAnsi="宋体" w:eastAsia="宋体" w:cs="Times New Roman"/>
          <w:color w:val="auto"/>
          <w:kern w:val="0"/>
          <w:sz w:val="24"/>
          <w:szCs w:val="24"/>
          <w:highlight w:val="none"/>
        </w:rPr>
        <w:t>5日</w:t>
      </w:r>
      <w:r>
        <w:rPr>
          <w:rStyle w:val="26"/>
          <w:rFonts w:ascii="宋体" w:hAnsi="宋体" w:eastAsia="宋体" w:cs="Times New Roman"/>
          <w:color w:val="auto"/>
          <w:kern w:val="0"/>
          <w:sz w:val="24"/>
          <w:szCs w:val="24"/>
          <w:highlight w:val="none"/>
        </w:rPr>
        <w:t>前，</w:t>
      </w:r>
      <w:r>
        <w:rPr>
          <w:rStyle w:val="26"/>
          <w:rFonts w:hint="eastAsia" w:ascii="宋体" w:hAnsi="宋体" w:eastAsia="宋体" w:cs="Times New Roman"/>
          <w:color w:val="auto"/>
          <w:kern w:val="0"/>
          <w:sz w:val="24"/>
          <w:szCs w:val="24"/>
          <w:highlight w:val="none"/>
          <w:lang w:val="en-US" w:eastAsia="zh-CN"/>
        </w:rPr>
        <w:t>采购</w:t>
      </w:r>
      <w:r>
        <w:rPr>
          <w:rStyle w:val="26"/>
          <w:rFonts w:ascii="宋体" w:hAnsi="宋体" w:eastAsia="宋体" w:cs="Times New Roman"/>
          <w:color w:val="auto"/>
          <w:kern w:val="0"/>
          <w:sz w:val="24"/>
          <w:szCs w:val="24"/>
          <w:highlight w:val="none"/>
        </w:rPr>
        <w:t>人可以</w:t>
      </w:r>
      <w:r>
        <w:rPr>
          <w:rStyle w:val="26"/>
          <w:rFonts w:hint="eastAsia" w:ascii="宋体" w:hAnsi="宋体" w:eastAsia="宋体" w:cs="Times New Roman"/>
          <w:color w:val="auto"/>
          <w:kern w:val="0"/>
          <w:sz w:val="24"/>
          <w:szCs w:val="24"/>
          <w:highlight w:val="none"/>
        </w:rPr>
        <w:t>在</w:t>
      </w:r>
      <w:r>
        <w:rPr>
          <w:rStyle w:val="26"/>
          <w:rFonts w:ascii="宋体" w:hAnsi="宋体" w:eastAsia="宋体" w:cs="Times New Roman"/>
          <w:color w:val="auto"/>
          <w:kern w:val="0"/>
          <w:sz w:val="24"/>
          <w:szCs w:val="24"/>
          <w:highlight w:val="none"/>
        </w:rPr>
        <w:t>三门峡市公共资源交易中心网以网上答疑形式修改招标文件，并通知所有已</w:t>
      </w:r>
      <w:r>
        <w:rPr>
          <w:rStyle w:val="26"/>
          <w:rFonts w:hint="eastAsia" w:ascii="宋体" w:hAnsi="宋体" w:eastAsia="宋体" w:cs="Times New Roman"/>
          <w:color w:val="auto"/>
          <w:kern w:val="0"/>
          <w:sz w:val="24"/>
          <w:szCs w:val="24"/>
          <w:highlight w:val="none"/>
        </w:rPr>
        <w:t>下载</w:t>
      </w:r>
      <w:r>
        <w:rPr>
          <w:rStyle w:val="26"/>
          <w:rFonts w:ascii="宋体" w:hAnsi="宋体" w:eastAsia="宋体" w:cs="Times New Roman"/>
          <w:color w:val="auto"/>
          <w:kern w:val="0"/>
          <w:sz w:val="24"/>
          <w:szCs w:val="24"/>
          <w:highlight w:val="none"/>
        </w:rPr>
        <w:t>招标文件的投标人。如果修改招标文件的时间距投标截止时间不足1</w:t>
      </w:r>
      <w:r>
        <w:rPr>
          <w:rStyle w:val="26"/>
          <w:rFonts w:hint="eastAsia" w:ascii="宋体" w:hAnsi="宋体" w:eastAsia="宋体" w:cs="Times New Roman"/>
          <w:color w:val="auto"/>
          <w:kern w:val="0"/>
          <w:sz w:val="24"/>
          <w:szCs w:val="24"/>
          <w:highlight w:val="none"/>
        </w:rPr>
        <w:t>5</w:t>
      </w:r>
      <w:r>
        <w:rPr>
          <w:rStyle w:val="26"/>
          <w:rFonts w:ascii="宋体" w:hAnsi="宋体" w:eastAsia="宋体" w:cs="Times New Roman"/>
          <w:color w:val="auto"/>
          <w:kern w:val="0"/>
          <w:sz w:val="24"/>
          <w:szCs w:val="24"/>
          <w:highlight w:val="none"/>
        </w:rPr>
        <w:t>天，相应延长投标截止时间。</w:t>
      </w:r>
    </w:p>
    <w:p w14:paraId="5A2FB80E">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Style w:val="26"/>
          <w:rFonts w:ascii="宋体" w:hAnsi="宋体" w:eastAsia="宋体" w:cs="Times New Roman"/>
          <w:color w:val="auto"/>
          <w:kern w:val="0"/>
          <w:sz w:val="24"/>
          <w:szCs w:val="24"/>
          <w:highlight w:val="none"/>
        </w:rPr>
      </w:pPr>
      <w:r>
        <w:rPr>
          <w:rStyle w:val="26"/>
          <w:rFonts w:hint="eastAsia" w:ascii="宋体" w:hAnsi="宋体" w:eastAsia="宋体" w:cs="Times New Roman"/>
          <w:color w:val="auto"/>
          <w:kern w:val="0"/>
          <w:sz w:val="24"/>
          <w:szCs w:val="24"/>
          <w:highlight w:val="none"/>
          <w:lang w:val="en-US" w:eastAsia="zh-CN"/>
        </w:rPr>
        <w:t>8.2</w:t>
      </w:r>
      <w:r>
        <w:rPr>
          <w:rStyle w:val="26"/>
          <w:rFonts w:ascii="宋体" w:hAnsi="宋体" w:eastAsia="宋体" w:cs="Times New Roman"/>
          <w:color w:val="auto"/>
          <w:kern w:val="0"/>
          <w:sz w:val="24"/>
          <w:szCs w:val="24"/>
          <w:highlight w:val="none"/>
        </w:rPr>
        <w:t>招标文件的澄清、修改、补充等内容均以</w:t>
      </w:r>
      <w:r>
        <w:rPr>
          <w:rStyle w:val="26"/>
          <w:rFonts w:hint="eastAsia" w:ascii="宋体" w:hAnsi="宋体" w:eastAsia="宋体" w:cs="Times New Roman"/>
          <w:color w:val="auto"/>
          <w:kern w:val="0"/>
          <w:sz w:val="24"/>
          <w:szCs w:val="24"/>
          <w:highlight w:val="none"/>
          <w:lang w:val="en-US" w:eastAsia="zh-CN"/>
        </w:rPr>
        <w:t>采购</w:t>
      </w:r>
      <w:r>
        <w:rPr>
          <w:rStyle w:val="26"/>
          <w:rFonts w:hint="eastAsia" w:ascii="宋体" w:hAnsi="宋体" w:eastAsia="宋体" w:cs="Times New Roman"/>
          <w:color w:val="auto"/>
          <w:kern w:val="0"/>
          <w:sz w:val="24"/>
          <w:szCs w:val="24"/>
          <w:highlight w:val="none"/>
        </w:rPr>
        <w:t>人</w:t>
      </w:r>
      <w:r>
        <w:rPr>
          <w:rStyle w:val="26"/>
          <w:rFonts w:ascii="宋体" w:hAnsi="宋体" w:eastAsia="宋体" w:cs="Times New Roman"/>
          <w:color w:val="auto"/>
          <w:kern w:val="0"/>
          <w:sz w:val="24"/>
          <w:szCs w:val="24"/>
          <w:highlight w:val="none"/>
        </w:rPr>
        <w:t>答疑形式明确的内容为准。当招标文件的澄清、修改、补充等在同一内容的表述上不一致时，以最后发出的答疑为准。</w:t>
      </w:r>
    </w:p>
    <w:p w14:paraId="7F92B0B7">
      <w:pPr>
        <w:shd w:val="clear" w:color="auto" w:fill="FFFFFF"/>
        <w:snapToGrid w:val="0"/>
        <w:spacing w:line="360" w:lineRule="auto"/>
        <w:ind w:right="105" w:rightChars="50"/>
        <w:jc w:val="center"/>
        <w:outlineLvl w:val="0"/>
        <w:rPr>
          <w:rFonts w:hint="eastAsia" w:ascii="宋体" w:hAnsi="宋体" w:eastAsia="宋体" w:cs="宋体"/>
          <w:b/>
          <w:bCs/>
          <w:color w:val="auto"/>
          <w:sz w:val="36"/>
          <w:szCs w:val="36"/>
          <w:highlight w:val="none"/>
        </w:rPr>
      </w:pPr>
      <w:bookmarkStart w:id="43" w:name="_Toc11110"/>
      <w:bookmarkStart w:id="44" w:name="_Toc16980"/>
      <w:r>
        <w:rPr>
          <w:rFonts w:hint="eastAsia" w:ascii="宋体" w:hAnsi="宋体" w:eastAsia="宋体" w:cs="宋体"/>
          <w:b/>
          <w:bCs/>
          <w:color w:val="auto"/>
          <w:sz w:val="36"/>
          <w:szCs w:val="36"/>
          <w:highlight w:val="none"/>
        </w:rPr>
        <w:t>三、投标文件的编制</w:t>
      </w:r>
      <w:bookmarkEnd w:id="43"/>
      <w:bookmarkEnd w:id="44"/>
    </w:p>
    <w:p w14:paraId="769FD93A">
      <w:pPr>
        <w:shd w:val="clear" w:color="auto" w:fill="FFFFFF"/>
        <w:snapToGrid w:val="0"/>
        <w:spacing w:line="360" w:lineRule="auto"/>
        <w:ind w:right="105" w:rightChars="50" w:firstLine="472" w:firstLineChars="196"/>
        <w:outlineLvl w:val="1"/>
        <w:rPr>
          <w:rFonts w:ascii="宋体"/>
          <w:color w:val="auto"/>
          <w:sz w:val="24"/>
          <w:szCs w:val="24"/>
          <w:highlight w:val="none"/>
        </w:rPr>
      </w:pPr>
      <w:bookmarkStart w:id="45" w:name="_Toc22641"/>
      <w:bookmarkStart w:id="46" w:name="_Toc30309"/>
      <w:r>
        <w:rPr>
          <w:rFonts w:ascii="宋体" w:hAnsi="宋体" w:cs="宋体"/>
          <w:b/>
          <w:bCs/>
          <w:color w:val="auto"/>
          <w:sz w:val="24"/>
          <w:szCs w:val="24"/>
          <w:highlight w:val="none"/>
        </w:rPr>
        <w:t>9</w:t>
      </w:r>
      <w:r>
        <w:rPr>
          <w:rFonts w:hint="eastAsia" w:ascii="宋体" w:hAnsi="宋体" w:cs="宋体"/>
          <w:b/>
          <w:bCs/>
          <w:color w:val="auto"/>
          <w:sz w:val="24"/>
          <w:szCs w:val="24"/>
          <w:highlight w:val="none"/>
        </w:rPr>
        <w:t>、特别说明</w:t>
      </w:r>
      <w:bookmarkEnd w:id="45"/>
      <w:bookmarkEnd w:id="46"/>
    </w:p>
    <w:p w14:paraId="1BCA439C">
      <w:pPr>
        <w:shd w:val="clear" w:color="auto" w:fill="FFFFFF"/>
        <w:snapToGrid w:val="0"/>
        <w:spacing w:line="360" w:lineRule="auto"/>
        <w:ind w:right="105" w:rightChars="50" w:firstLine="472" w:firstLineChars="196"/>
        <w:rPr>
          <w:rFonts w:ascii="宋体"/>
          <w:color w:val="auto"/>
          <w:sz w:val="24"/>
          <w:szCs w:val="24"/>
          <w:highlight w:val="none"/>
        </w:rPr>
      </w:pPr>
      <w:r>
        <w:rPr>
          <w:rFonts w:ascii="宋体" w:hAnsi="宋体" w:cs="宋体"/>
          <w:b/>
          <w:bCs/>
          <w:color w:val="auto"/>
          <w:sz w:val="24"/>
          <w:szCs w:val="24"/>
          <w:highlight w:val="none"/>
        </w:rPr>
        <w:t>9.1</w:t>
      </w:r>
      <w:r>
        <w:rPr>
          <w:rFonts w:hint="eastAsia" w:ascii="宋体" w:hAnsi="宋体" w:cs="宋体"/>
          <w:color w:val="auto"/>
          <w:sz w:val="24"/>
          <w:szCs w:val="24"/>
          <w:highlight w:val="none"/>
        </w:rPr>
        <w:t>投标语言</w:t>
      </w:r>
    </w:p>
    <w:p w14:paraId="556E87A5">
      <w:pPr>
        <w:shd w:val="clear" w:color="auto" w:fill="FFFFFF"/>
        <w:snapToGrid w:val="0"/>
        <w:spacing w:line="360" w:lineRule="auto"/>
        <w:ind w:right="105" w:rightChars="50" w:firstLine="480" w:firstLineChars="200"/>
        <w:rPr>
          <w:rFonts w:ascii="宋体"/>
          <w:color w:val="auto"/>
          <w:sz w:val="24"/>
          <w:szCs w:val="24"/>
          <w:highlight w:val="none"/>
        </w:rPr>
      </w:pPr>
      <w:r>
        <w:rPr>
          <w:rFonts w:hint="eastAsia" w:ascii="宋体" w:hAnsi="宋体" w:cs="宋体"/>
          <w:color w:val="auto"/>
          <w:sz w:val="24"/>
          <w:szCs w:val="24"/>
          <w:highlight w:val="none"/>
        </w:rPr>
        <w:t>投标供应商提交的投标文件以及投标供应商与招标代理机构就有关投标的所有往来函电均应使用中文。投标供应商提供的文件可以用英文，但相应内容应附有中文翻译本，在解释时以中文翻译本为准。</w:t>
      </w:r>
    </w:p>
    <w:p w14:paraId="43623B5A">
      <w:pPr>
        <w:shd w:val="clear" w:color="auto" w:fill="FFFFFF"/>
        <w:snapToGrid w:val="0"/>
        <w:spacing w:line="360" w:lineRule="auto"/>
        <w:ind w:right="105" w:rightChars="50" w:firstLine="472" w:firstLineChars="196"/>
        <w:rPr>
          <w:rFonts w:ascii="宋体"/>
          <w:color w:val="auto"/>
          <w:sz w:val="24"/>
          <w:szCs w:val="24"/>
          <w:highlight w:val="none"/>
        </w:rPr>
      </w:pPr>
      <w:r>
        <w:rPr>
          <w:rFonts w:ascii="宋体" w:hAnsi="宋体" w:cs="宋体"/>
          <w:b/>
          <w:bCs/>
          <w:color w:val="auto"/>
          <w:sz w:val="24"/>
          <w:szCs w:val="24"/>
          <w:highlight w:val="none"/>
        </w:rPr>
        <w:t>9.2</w:t>
      </w:r>
      <w:r>
        <w:rPr>
          <w:rFonts w:hint="eastAsia" w:ascii="宋体" w:hAnsi="宋体" w:cs="宋体"/>
          <w:color w:val="auto"/>
          <w:sz w:val="24"/>
          <w:szCs w:val="24"/>
          <w:highlight w:val="none"/>
        </w:rPr>
        <w:t>计量</w:t>
      </w:r>
    </w:p>
    <w:p w14:paraId="06EBD66F">
      <w:pPr>
        <w:shd w:val="clear" w:color="auto" w:fill="FFFFFF"/>
        <w:snapToGrid w:val="0"/>
        <w:spacing w:line="360" w:lineRule="auto"/>
        <w:ind w:right="105" w:rightChars="50" w:firstLine="480" w:firstLineChars="200"/>
        <w:rPr>
          <w:rFonts w:ascii="宋体"/>
          <w:color w:val="auto"/>
          <w:sz w:val="24"/>
          <w:szCs w:val="24"/>
          <w:highlight w:val="none"/>
        </w:rPr>
      </w:pPr>
      <w:r>
        <w:rPr>
          <w:rFonts w:hint="eastAsia" w:ascii="宋体" w:hAnsi="宋体" w:cs="宋体"/>
          <w:color w:val="auto"/>
          <w:sz w:val="24"/>
          <w:szCs w:val="24"/>
          <w:highlight w:val="none"/>
        </w:rPr>
        <w:t>在投标文件所有计量单位均采用中华人民共和国法定计量单位。</w:t>
      </w:r>
    </w:p>
    <w:p w14:paraId="08B95882">
      <w:pPr>
        <w:shd w:val="clear" w:color="auto" w:fill="FFFFFF"/>
        <w:snapToGrid w:val="0"/>
        <w:spacing w:line="360" w:lineRule="auto"/>
        <w:ind w:right="105" w:rightChars="50" w:firstLine="472" w:firstLineChars="196"/>
        <w:rPr>
          <w:rFonts w:ascii="宋体"/>
          <w:color w:val="auto"/>
          <w:sz w:val="24"/>
          <w:szCs w:val="24"/>
          <w:highlight w:val="none"/>
        </w:rPr>
      </w:pPr>
      <w:r>
        <w:rPr>
          <w:rFonts w:ascii="宋体" w:hAnsi="宋体" w:cs="宋体"/>
          <w:b/>
          <w:bCs/>
          <w:color w:val="auto"/>
          <w:sz w:val="24"/>
          <w:szCs w:val="24"/>
          <w:highlight w:val="none"/>
        </w:rPr>
        <w:t>9.3</w:t>
      </w:r>
      <w:r>
        <w:rPr>
          <w:rFonts w:hint="eastAsia" w:ascii="宋体" w:hAnsi="宋体" w:cs="宋体"/>
          <w:color w:val="auto"/>
          <w:sz w:val="24"/>
          <w:szCs w:val="24"/>
          <w:highlight w:val="none"/>
        </w:rPr>
        <w:t>投标供应商在投标文件中所提交的所有资料和文件均应是真实的和有效的，如有作假，则将该投标供应商的投标作无效标处理，若中标后被发现有上述行为的，则采购人有权取消其中标资格，并且该投标供应商应承担由此而造成的一切损失（包括经济损失和法律责任）。</w:t>
      </w:r>
    </w:p>
    <w:p w14:paraId="24547B51">
      <w:pPr>
        <w:shd w:val="clear" w:color="auto" w:fill="FFFFFF"/>
        <w:snapToGrid w:val="0"/>
        <w:spacing w:line="360" w:lineRule="auto"/>
        <w:ind w:right="105" w:rightChars="50" w:firstLine="472" w:firstLineChars="196"/>
        <w:rPr>
          <w:rFonts w:ascii="宋体"/>
          <w:color w:val="auto"/>
          <w:sz w:val="24"/>
          <w:szCs w:val="24"/>
          <w:highlight w:val="none"/>
        </w:rPr>
      </w:pPr>
      <w:r>
        <w:rPr>
          <w:rFonts w:ascii="宋体" w:hAnsi="宋体" w:cs="宋体"/>
          <w:b/>
          <w:bCs/>
          <w:color w:val="auto"/>
          <w:sz w:val="24"/>
          <w:szCs w:val="24"/>
          <w:highlight w:val="none"/>
        </w:rPr>
        <w:t>9.4</w:t>
      </w:r>
      <w:r>
        <w:rPr>
          <w:rFonts w:hint="eastAsia" w:ascii="宋体" w:hAnsi="宋体" w:cs="宋体"/>
          <w:color w:val="auto"/>
          <w:sz w:val="24"/>
          <w:szCs w:val="24"/>
          <w:highlight w:val="none"/>
        </w:rPr>
        <w:t>投标供应商应当按照招标文件和电子招标投标交易平台的要求编制并加密投标文件。投标供应商未按规定加密的投标文件，电子招标投标交易平台将拒收并提示。</w:t>
      </w:r>
    </w:p>
    <w:p w14:paraId="026B52D2">
      <w:pPr>
        <w:shd w:val="clear" w:color="auto" w:fill="FFFFFF"/>
        <w:snapToGrid w:val="0"/>
        <w:spacing w:line="360" w:lineRule="auto"/>
        <w:ind w:right="105" w:rightChars="50" w:firstLine="472" w:firstLineChars="196"/>
        <w:rPr>
          <w:rFonts w:ascii="宋体"/>
          <w:b/>
          <w:bCs/>
          <w:color w:val="auto"/>
          <w:sz w:val="24"/>
          <w:szCs w:val="24"/>
          <w:highlight w:val="none"/>
        </w:rPr>
      </w:pPr>
      <w:r>
        <w:rPr>
          <w:rFonts w:ascii="宋体" w:hAnsi="宋体" w:cs="宋体"/>
          <w:b/>
          <w:bCs/>
          <w:color w:val="auto"/>
          <w:sz w:val="24"/>
          <w:szCs w:val="24"/>
          <w:highlight w:val="none"/>
        </w:rPr>
        <w:t>9.5</w:t>
      </w:r>
      <w:r>
        <w:rPr>
          <w:rFonts w:hint="eastAsia" w:ascii="宋体" w:hAnsi="宋体" w:cs="宋体"/>
          <w:b/>
          <w:bCs/>
          <w:color w:val="auto"/>
          <w:sz w:val="24"/>
          <w:szCs w:val="24"/>
          <w:highlight w:val="none"/>
        </w:rPr>
        <w:t>温馨提示：本项目为电子化、无纸化交易项目，开标时不接受任何纸质资料，为保证您能投标成功，请需仔细阅读投标供应商须知前附表。</w:t>
      </w:r>
    </w:p>
    <w:p w14:paraId="7EAB39A0">
      <w:pPr>
        <w:shd w:val="clear" w:color="auto" w:fill="FFFFFF"/>
        <w:snapToGrid w:val="0"/>
        <w:spacing w:line="360" w:lineRule="auto"/>
        <w:ind w:right="105" w:rightChars="50" w:firstLine="472" w:firstLineChars="196"/>
        <w:outlineLvl w:val="1"/>
        <w:rPr>
          <w:rFonts w:hint="eastAsia" w:ascii="宋体" w:hAnsi="宋体" w:cs="宋体"/>
          <w:b/>
          <w:bCs/>
          <w:color w:val="auto"/>
          <w:sz w:val="24"/>
          <w:szCs w:val="24"/>
          <w:highlight w:val="none"/>
        </w:rPr>
      </w:pPr>
      <w:bookmarkStart w:id="47" w:name="_Toc4691"/>
      <w:bookmarkStart w:id="48" w:name="_Toc2306"/>
      <w:r>
        <w:rPr>
          <w:rFonts w:ascii="宋体" w:hAnsi="宋体" w:cs="宋体"/>
          <w:b/>
          <w:bCs/>
          <w:color w:val="auto"/>
          <w:sz w:val="24"/>
          <w:szCs w:val="24"/>
          <w:highlight w:val="none"/>
        </w:rPr>
        <w:t>10</w:t>
      </w:r>
      <w:r>
        <w:rPr>
          <w:rFonts w:hint="eastAsia" w:ascii="宋体" w:hAnsi="宋体" w:cs="宋体"/>
          <w:b/>
          <w:bCs/>
          <w:color w:val="auto"/>
          <w:sz w:val="24"/>
          <w:szCs w:val="24"/>
          <w:highlight w:val="none"/>
        </w:rPr>
        <w:t>、投标货物和服务的报价</w:t>
      </w:r>
      <w:bookmarkEnd w:id="47"/>
      <w:bookmarkEnd w:id="48"/>
    </w:p>
    <w:p w14:paraId="0BE76845">
      <w:pPr>
        <w:autoSpaceDE w:val="0"/>
        <w:autoSpaceDN w:val="0"/>
        <w:adjustRightInd w:val="0"/>
        <w:spacing w:line="360" w:lineRule="auto"/>
        <w:ind w:firstLine="480" w:firstLineChars="200"/>
        <w:jc w:val="left"/>
        <w:outlineLvl w:val="2"/>
        <w:rPr>
          <w:rFonts w:ascii="宋体" w:hAnsi="宋体" w:cs="宋体"/>
          <w:color w:val="auto"/>
          <w:kern w:val="0"/>
          <w:sz w:val="24"/>
          <w:szCs w:val="24"/>
          <w:highlight w:val="none"/>
        </w:rPr>
      </w:pPr>
      <w:bookmarkStart w:id="49" w:name="_Toc12543"/>
      <w:bookmarkStart w:id="50" w:name="_Toc644"/>
      <w:r>
        <w:rPr>
          <w:rFonts w:ascii="宋体" w:hAnsi="宋体" w:cs="宋体"/>
          <w:color w:val="auto"/>
          <w:kern w:val="0"/>
          <w:sz w:val="24"/>
          <w:szCs w:val="24"/>
          <w:highlight w:val="none"/>
        </w:rPr>
        <w:t xml:space="preserve">10.1 </w:t>
      </w:r>
      <w:r>
        <w:rPr>
          <w:rFonts w:hint="eastAsia" w:ascii="宋体" w:hAnsi="宋体" w:cs="宋体"/>
          <w:color w:val="auto"/>
          <w:kern w:val="0"/>
          <w:sz w:val="24"/>
          <w:szCs w:val="24"/>
          <w:highlight w:val="none"/>
        </w:rPr>
        <w:t>投标报价中应包含以下内容。</w:t>
      </w:r>
      <w:bookmarkEnd w:id="49"/>
      <w:bookmarkEnd w:id="50"/>
    </w:p>
    <w:p w14:paraId="4B56F96E">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ascii="宋体" w:hAnsi="宋体" w:cs="宋体"/>
          <w:color w:val="auto"/>
          <w:kern w:val="0"/>
          <w:sz w:val="24"/>
          <w:szCs w:val="24"/>
          <w:highlight w:val="none"/>
        </w:rPr>
        <w:t xml:space="preserve">10.1.1 </w:t>
      </w:r>
      <w:r>
        <w:rPr>
          <w:rFonts w:hint="eastAsia" w:ascii="宋体" w:hAnsi="宋体" w:cs="宋体"/>
          <w:color w:val="auto"/>
          <w:kern w:val="0"/>
          <w:sz w:val="24"/>
          <w:szCs w:val="24"/>
          <w:highlight w:val="none"/>
        </w:rPr>
        <w:t>投标供应商的投标报价应包含验收合格正式交付使用前所发生的一切费用，且投标供应商只能提出一个不变价格，采购人不接受任何选择报价。</w:t>
      </w:r>
    </w:p>
    <w:p w14:paraId="0650F106">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ascii="宋体" w:hAnsi="宋体" w:cs="宋体"/>
          <w:color w:val="auto"/>
          <w:kern w:val="0"/>
          <w:sz w:val="24"/>
          <w:szCs w:val="24"/>
          <w:highlight w:val="none"/>
        </w:rPr>
        <w:t xml:space="preserve">10.1.2 </w:t>
      </w:r>
      <w:r>
        <w:rPr>
          <w:rFonts w:hint="eastAsia" w:ascii="宋体" w:hAnsi="宋体" w:cs="宋体"/>
          <w:color w:val="auto"/>
          <w:kern w:val="0"/>
          <w:sz w:val="24"/>
          <w:szCs w:val="24"/>
          <w:highlight w:val="none"/>
        </w:rPr>
        <w:t>该项目类别及取费标准按照国家相关规定执行。</w:t>
      </w:r>
    </w:p>
    <w:p w14:paraId="2942F97E">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ascii="宋体" w:hAnsi="宋体" w:cs="宋体"/>
          <w:color w:val="auto"/>
          <w:kern w:val="0"/>
          <w:sz w:val="24"/>
          <w:szCs w:val="24"/>
          <w:highlight w:val="none"/>
        </w:rPr>
        <w:t xml:space="preserve">10.1.3 </w:t>
      </w:r>
      <w:r>
        <w:rPr>
          <w:rFonts w:hint="eastAsia" w:ascii="宋体" w:hAnsi="宋体" w:cs="宋体"/>
          <w:color w:val="auto"/>
          <w:kern w:val="0"/>
          <w:sz w:val="24"/>
          <w:szCs w:val="24"/>
          <w:highlight w:val="none"/>
        </w:rPr>
        <w:t>电子化投标文件的投标报价，应是完成本文件所列招标范围的全部内容。</w:t>
      </w:r>
    </w:p>
    <w:p w14:paraId="2C05CA6B">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ascii="宋体" w:hAnsi="宋体" w:cs="宋体"/>
          <w:color w:val="auto"/>
          <w:kern w:val="0"/>
          <w:sz w:val="24"/>
          <w:szCs w:val="24"/>
          <w:highlight w:val="none"/>
        </w:rPr>
        <w:t xml:space="preserve">10.1.4 </w:t>
      </w:r>
      <w:r>
        <w:rPr>
          <w:rFonts w:hint="eastAsia" w:ascii="宋体" w:hAnsi="宋体" w:cs="宋体"/>
          <w:color w:val="auto"/>
          <w:kern w:val="0"/>
          <w:sz w:val="24"/>
          <w:szCs w:val="24"/>
          <w:highlight w:val="none"/>
        </w:rPr>
        <w:t>如投标报价表中的大写金额和小写金额不一致的，以大写金额为准；总价金额与单价金额不一致的，以单价金额为准，但单价金额小数点有明显错误的除外；对不同文字文本电子化投标文件的解释发生异议的，以中文文本为准。</w:t>
      </w:r>
    </w:p>
    <w:p w14:paraId="6875BAFE">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ascii="宋体" w:hAnsi="宋体" w:cs="宋体"/>
          <w:color w:val="auto"/>
          <w:kern w:val="0"/>
          <w:sz w:val="24"/>
          <w:szCs w:val="24"/>
          <w:highlight w:val="none"/>
        </w:rPr>
        <w:t xml:space="preserve">10.1.5 </w:t>
      </w:r>
      <w:r>
        <w:rPr>
          <w:rFonts w:hint="eastAsia" w:ascii="宋体" w:hAnsi="宋体" w:cs="宋体"/>
          <w:color w:val="auto"/>
          <w:kern w:val="0"/>
          <w:sz w:val="24"/>
          <w:szCs w:val="24"/>
          <w:highlight w:val="none"/>
        </w:rPr>
        <w:t>全部报价均应以人民币为计量币种，并以人民币进行结算。</w:t>
      </w:r>
    </w:p>
    <w:p w14:paraId="2179BDC2">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ascii="宋体" w:hAnsi="宋体" w:cs="宋体"/>
          <w:color w:val="auto"/>
          <w:kern w:val="0"/>
          <w:sz w:val="24"/>
          <w:szCs w:val="24"/>
          <w:highlight w:val="none"/>
        </w:rPr>
        <w:t xml:space="preserve">10.1.6 </w:t>
      </w:r>
      <w:r>
        <w:rPr>
          <w:rFonts w:hint="eastAsia" w:ascii="宋体" w:hAnsi="宋体" w:cs="宋体"/>
          <w:color w:val="auto"/>
          <w:kern w:val="0"/>
          <w:sz w:val="24"/>
          <w:szCs w:val="24"/>
          <w:highlight w:val="none"/>
        </w:rPr>
        <w:t>采购人对投标供应商提供的货物有权利到生产厂家进行考察和交货前验货，投标供应商应提供便利条件。</w:t>
      </w:r>
    </w:p>
    <w:p w14:paraId="1A940A01">
      <w:pPr>
        <w:shd w:val="clear" w:color="auto" w:fill="FFFFFF"/>
        <w:snapToGrid w:val="0"/>
        <w:spacing w:line="360" w:lineRule="auto"/>
        <w:ind w:right="105" w:rightChars="50" w:firstLine="472" w:firstLineChars="196"/>
        <w:outlineLvl w:val="1"/>
        <w:rPr>
          <w:rFonts w:hint="eastAsia" w:ascii="宋体" w:hAnsi="宋体" w:cs="宋体"/>
          <w:b/>
          <w:bCs/>
          <w:color w:val="auto"/>
          <w:sz w:val="24"/>
          <w:szCs w:val="24"/>
          <w:highlight w:val="none"/>
        </w:rPr>
      </w:pPr>
      <w:bookmarkStart w:id="51" w:name="_Toc519"/>
      <w:bookmarkStart w:id="52" w:name="_Toc2186"/>
      <w:r>
        <w:rPr>
          <w:rFonts w:ascii="宋体" w:hAnsi="宋体" w:cs="宋体"/>
          <w:b/>
          <w:bCs/>
          <w:color w:val="auto"/>
          <w:sz w:val="24"/>
          <w:szCs w:val="24"/>
          <w:highlight w:val="none"/>
        </w:rPr>
        <w:t>1</w:t>
      </w:r>
      <w:r>
        <w:rPr>
          <w:rFonts w:hint="eastAsia" w:ascii="宋体" w:hAnsi="宋体" w:cs="宋体"/>
          <w:b/>
          <w:bCs/>
          <w:color w:val="auto"/>
          <w:sz w:val="24"/>
          <w:szCs w:val="24"/>
          <w:highlight w:val="none"/>
        </w:rPr>
        <w:t>1、投标保证金</w:t>
      </w:r>
      <w:bookmarkEnd w:id="51"/>
      <w:bookmarkEnd w:id="52"/>
    </w:p>
    <w:p w14:paraId="6119C73C">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根据《河南省财政厅关于优化政府采购营商环境有关问题的通知》（豫财购【2019】4号）第6条的规定，投标保证金不再收取，需提供投标承诺函。</w:t>
      </w:r>
    </w:p>
    <w:p w14:paraId="4CCDA057">
      <w:pPr>
        <w:shd w:val="clear" w:color="auto" w:fill="FFFFFF"/>
        <w:snapToGrid w:val="0"/>
        <w:spacing w:line="360" w:lineRule="auto"/>
        <w:ind w:right="105" w:rightChars="50" w:firstLine="472" w:firstLineChars="196"/>
        <w:outlineLvl w:val="1"/>
        <w:rPr>
          <w:rFonts w:ascii="宋体"/>
          <w:color w:val="auto"/>
          <w:sz w:val="24"/>
          <w:szCs w:val="24"/>
          <w:highlight w:val="none"/>
        </w:rPr>
      </w:pPr>
      <w:bookmarkStart w:id="53" w:name="_Toc8779"/>
      <w:bookmarkStart w:id="54" w:name="_Toc14967"/>
      <w:r>
        <w:rPr>
          <w:rFonts w:ascii="宋体" w:hAnsi="宋体" w:cs="宋体"/>
          <w:b/>
          <w:bCs/>
          <w:color w:val="auto"/>
          <w:sz w:val="24"/>
          <w:szCs w:val="24"/>
          <w:highlight w:val="none"/>
        </w:rPr>
        <w:t>1</w:t>
      </w:r>
      <w:r>
        <w:rPr>
          <w:rFonts w:hint="eastAsia" w:ascii="宋体" w:hAnsi="宋体" w:cs="宋体"/>
          <w:b/>
          <w:bCs/>
          <w:color w:val="auto"/>
          <w:sz w:val="24"/>
          <w:szCs w:val="24"/>
          <w:highlight w:val="none"/>
        </w:rPr>
        <w:t>2、投标有效期</w:t>
      </w:r>
      <w:bookmarkEnd w:id="53"/>
      <w:bookmarkEnd w:id="54"/>
    </w:p>
    <w:p w14:paraId="0C39D9D0">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ascii="宋体" w:hAnsi="宋体" w:cs="_5b8b_4f53"/>
          <w:b/>
          <w:bCs/>
          <w:color w:val="auto"/>
          <w:sz w:val="24"/>
          <w:szCs w:val="24"/>
          <w:highlight w:val="none"/>
        </w:rPr>
        <w:t>1</w:t>
      </w:r>
      <w:r>
        <w:rPr>
          <w:rFonts w:hint="eastAsia" w:ascii="宋体" w:hAnsi="宋体" w:cs="_5b8b_4f53"/>
          <w:b/>
          <w:bCs/>
          <w:color w:val="auto"/>
          <w:sz w:val="24"/>
          <w:szCs w:val="24"/>
          <w:highlight w:val="none"/>
        </w:rPr>
        <w:t>2</w:t>
      </w:r>
      <w:r>
        <w:rPr>
          <w:rFonts w:ascii="宋体" w:hAnsi="宋体" w:cs="_5b8b_4f53"/>
          <w:b/>
          <w:bCs/>
          <w:color w:val="auto"/>
          <w:sz w:val="24"/>
          <w:szCs w:val="24"/>
          <w:highlight w:val="none"/>
        </w:rPr>
        <w:t>.1</w:t>
      </w:r>
      <w:r>
        <w:rPr>
          <w:rFonts w:hint="eastAsia" w:ascii="宋体" w:hAnsi="宋体" w:cs="_5b8b_4f53"/>
          <w:color w:val="auto"/>
          <w:sz w:val="24"/>
          <w:szCs w:val="24"/>
          <w:highlight w:val="none"/>
        </w:rPr>
        <w:t>投标文件从开标之时起开始生效，投标有效期</w:t>
      </w:r>
      <w:r>
        <w:rPr>
          <w:rFonts w:hint="eastAsia" w:ascii="宋体" w:hAnsi="宋体" w:cs="宋体"/>
          <w:color w:val="auto"/>
          <w:sz w:val="24"/>
          <w:szCs w:val="24"/>
          <w:highlight w:val="none"/>
        </w:rPr>
        <w:t>从投标截止之日起</w:t>
      </w:r>
      <w:r>
        <w:rPr>
          <w:rFonts w:ascii="宋体" w:hAnsi="宋体" w:cs="宋体"/>
          <w:color w:val="auto"/>
          <w:sz w:val="24"/>
          <w:szCs w:val="24"/>
          <w:highlight w:val="none"/>
        </w:rPr>
        <w:t>60</w:t>
      </w:r>
      <w:r>
        <w:rPr>
          <w:rFonts w:hint="eastAsia" w:ascii="宋体" w:hAnsi="宋体" w:cs="宋体"/>
          <w:color w:val="auto"/>
          <w:sz w:val="24"/>
          <w:szCs w:val="24"/>
          <w:highlight w:val="none"/>
        </w:rPr>
        <w:t>日历天</w:t>
      </w:r>
      <w:r>
        <w:rPr>
          <w:rFonts w:hint="eastAsia" w:ascii="宋体" w:hAnsi="宋体" w:cs="_5b8b_4f53"/>
          <w:color w:val="auto"/>
          <w:sz w:val="24"/>
          <w:szCs w:val="24"/>
          <w:highlight w:val="none"/>
        </w:rPr>
        <w:t>。</w:t>
      </w:r>
    </w:p>
    <w:p w14:paraId="47EC2637">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bCs/>
          <w:color w:val="auto"/>
          <w:sz w:val="24"/>
          <w:szCs w:val="24"/>
          <w:highlight w:val="none"/>
        </w:rPr>
        <w:t>12</w:t>
      </w:r>
      <w:r>
        <w:rPr>
          <w:rFonts w:ascii="宋体" w:hAnsi="宋体" w:cs="_5b8b_4f53"/>
          <w:b/>
          <w:bCs/>
          <w:color w:val="auto"/>
          <w:sz w:val="24"/>
          <w:szCs w:val="24"/>
          <w:highlight w:val="none"/>
        </w:rPr>
        <w:t>.2</w:t>
      </w:r>
      <w:r>
        <w:rPr>
          <w:rFonts w:hint="eastAsia" w:ascii="宋体" w:hAnsi="宋体" w:cs="_5b8b_4f53"/>
          <w:color w:val="auto"/>
          <w:sz w:val="24"/>
          <w:szCs w:val="24"/>
          <w:highlight w:val="none"/>
        </w:rPr>
        <w:t>在特殊情况下，采购人可征求投标供应商同意延长投标有效期，这种要求和答复均应以</w:t>
      </w:r>
      <w:r>
        <w:rPr>
          <w:rFonts w:hint="eastAsia" w:ascii="宋体" w:hAnsi="宋体" w:cs="_5b8b_4f53"/>
          <w:color w:val="auto"/>
          <w:sz w:val="24"/>
          <w:szCs w:val="24"/>
          <w:highlight w:val="none"/>
          <w:lang w:val="en-US" w:eastAsia="zh-CN"/>
        </w:rPr>
        <w:t>网上</w:t>
      </w:r>
      <w:r>
        <w:rPr>
          <w:rFonts w:hint="eastAsia" w:ascii="宋体" w:hAnsi="宋体" w:cs="_5b8b_4f53"/>
          <w:color w:val="auto"/>
          <w:sz w:val="24"/>
          <w:szCs w:val="24"/>
          <w:highlight w:val="none"/>
        </w:rPr>
        <w:t>形式提交。同意延长投标有效期的投标供应商不需要也不允许修改其电子化投标文件。</w:t>
      </w:r>
    </w:p>
    <w:p w14:paraId="368F1AFC">
      <w:pPr>
        <w:shd w:val="clear" w:color="auto" w:fill="FFFFFF"/>
        <w:snapToGrid w:val="0"/>
        <w:spacing w:line="360" w:lineRule="auto"/>
        <w:ind w:right="105" w:rightChars="50" w:firstLine="482" w:firstLineChars="200"/>
        <w:outlineLvl w:val="1"/>
        <w:rPr>
          <w:rFonts w:hint="eastAsia" w:ascii="宋体" w:hAnsi="宋体" w:cs="宋体"/>
          <w:b/>
          <w:bCs/>
          <w:color w:val="auto"/>
          <w:sz w:val="24"/>
          <w:szCs w:val="24"/>
          <w:highlight w:val="none"/>
        </w:rPr>
      </w:pPr>
      <w:bookmarkStart w:id="55" w:name="_Toc13948"/>
      <w:bookmarkStart w:id="56" w:name="_Toc1859"/>
      <w:r>
        <w:rPr>
          <w:rFonts w:hint="eastAsia" w:ascii="宋体" w:hAnsi="宋体" w:cs="_5b8b_4f53"/>
          <w:b/>
          <w:bCs/>
          <w:color w:val="auto"/>
          <w:sz w:val="24"/>
          <w:szCs w:val="24"/>
          <w:highlight w:val="none"/>
        </w:rPr>
        <w:t>13</w:t>
      </w:r>
      <w:r>
        <w:rPr>
          <w:rFonts w:hint="eastAsia" w:ascii="宋体" w:hAnsi="宋体" w:cs="宋体"/>
          <w:b/>
          <w:bCs/>
          <w:color w:val="auto"/>
          <w:sz w:val="24"/>
          <w:szCs w:val="24"/>
          <w:highlight w:val="none"/>
        </w:rPr>
        <w:t>、电子化投标文件的组成</w:t>
      </w:r>
      <w:bookmarkEnd w:id="55"/>
      <w:bookmarkEnd w:id="56"/>
    </w:p>
    <w:p w14:paraId="630DB7B0">
      <w:pPr>
        <w:shd w:val="clear" w:color="auto" w:fill="FFFFFF"/>
        <w:snapToGrid w:val="0"/>
        <w:spacing w:line="360" w:lineRule="auto"/>
        <w:ind w:right="105" w:rightChars="50" w:firstLine="480" w:firstLineChars="200"/>
        <w:rPr>
          <w:rFonts w:hint="eastAsia" w:ascii="宋体" w:hAnsi="宋体" w:eastAsia="宋体" w:cs="_5b8b_4f53"/>
          <w:color w:val="auto"/>
          <w:sz w:val="24"/>
          <w:szCs w:val="24"/>
          <w:highlight w:val="none"/>
          <w:lang w:val="en-US" w:eastAsia="zh-CN"/>
        </w:rPr>
      </w:pPr>
      <w:r>
        <w:rPr>
          <w:rFonts w:hint="eastAsia" w:ascii="宋体" w:hAnsi="宋体" w:eastAsia="宋体" w:cs="_5b8b_4f53"/>
          <w:color w:val="auto"/>
          <w:sz w:val="24"/>
          <w:szCs w:val="24"/>
          <w:highlight w:val="none"/>
        </w:rPr>
        <w:t>一、法定代表人身份证明</w:t>
      </w:r>
      <w:r>
        <w:rPr>
          <w:rFonts w:hint="eastAsia" w:ascii="宋体" w:hAnsi="宋体" w:eastAsia="宋体" w:cs="_5b8b_4f53"/>
          <w:color w:val="auto"/>
          <w:sz w:val="24"/>
          <w:szCs w:val="24"/>
          <w:highlight w:val="none"/>
          <w:lang w:val="en-US" w:eastAsia="zh-CN"/>
        </w:rPr>
        <w:t>书</w:t>
      </w:r>
    </w:p>
    <w:p w14:paraId="5AD20602">
      <w:pPr>
        <w:shd w:val="clear" w:color="auto" w:fill="FFFFFF"/>
        <w:snapToGrid w:val="0"/>
        <w:spacing w:line="360" w:lineRule="auto"/>
        <w:ind w:right="105" w:rightChars="50" w:firstLine="480" w:firstLineChars="200"/>
        <w:rPr>
          <w:rFonts w:hint="eastAsia" w:ascii="宋体" w:hAnsi="宋体" w:eastAsia="宋体" w:cs="_5b8b_4f53"/>
          <w:color w:val="auto"/>
          <w:sz w:val="24"/>
          <w:szCs w:val="24"/>
          <w:highlight w:val="none"/>
        </w:rPr>
      </w:pPr>
      <w:r>
        <w:rPr>
          <w:rFonts w:hint="eastAsia" w:ascii="宋体" w:hAnsi="宋体" w:eastAsia="宋体" w:cs="_5b8b_4f53"/>
          <w:color w:val="auto"/>
          <w:sz w:val="24"/>
          <w:szCs w:val="24"/>
          <w:highlight w:val="none"/>
        </w:rPr>
        <w:t>二、投标文件签署授权委托书</w:t>
      </w:r>
    </w:p>
    <w:p w14:paraId="39C95DD2">
      <w:pPr>
        <w:shd w:val="clear" w:color="auto" w:fill="FFFFFF"/>
        <w:snapToGrid w:val="0"/>
        <w:spacing w:line="360" w:lineRule="auto"/>
        <w:ind w:right="105" w:rightChars="50" w:firstLine="480" w:firstLineChars="200"/>
        <w:rPr>
          <w:rFonts w:hint="eastAsia" w:ascii="宋体" w:hAnsi="宋体" w:eastAsia="宋体" w:cs="_5b8b_4f53"/>
          <w:color w:val="auto"/>
          <w:sz w:val="24"/>
          <w:szCs w:val="24"/>
          <w:highlight w:val="none"/>
        </w:rPr>
      </w:pPr>
      <w:r>
        <w:rPr>
          <w:rFonts w:hint="eastAsia" w:ascii="宋体" w:hAnsi="宋体" w:eastAsia="宋体" w:cs="_5b8b_4f53"/>
          <w:color w:val="auto"/>
          <w:sz w:val="24"/>
          <w:szCs w:val="24"/>
          <w:highlight w:val="none"/>
        </w:rPr>
        <w:t>三、投标函</w:t>
      </w:r>
    </w:p>
    <w:p w14:paraId="502FC459">
      <w:pPr>
        <w:shd w:val="clear" w:color="auto" w:fill="FFFFFF"/>
        <w:snapToGrid w:val="0"/>
        <w:spacing w:line="360" w:lineRule="auto"/>
        <w:ind w:right="105" w:rightChars="50" w:firstLine="480" w:firstLineChars="200"/>
        <w:rPr>
          <w:rFonts w:hint="eastAsia" w:ascii="宋体" w:hAnsi="宋体" w:eastAsia="宋体" w:cs="_5b8b_4f53"/>
          <w:color w:val="auto"/>
          <w:sz w:val="24"/>
          <w:szCs w:val="24"/>
          <w:highlight w:val="none"/>
        </w:rPr>
      </w:pPr>
      <w:r>
        <w:rPr>
          <w:rFonts w:hint="eastAsia" w:ascii="宋体" w:hAnsi="宋体" w:eastAsia="宋体" w:cs="_5b8b_4f53"/>
          <w:color w:val="auto"/>
          <w:sz w:val="24"/>
          <w:szCs w:val="24"/>
          <w:highlight w:val="none"/>
        </w:rPr>
        <w:t>四、报价明细表</w:t>
      </w:r>
    </w:p>
    <w:p w14:paraId="4BE67325">
      <w:pPr>
        <w:shd w:val="clear" w:color="auto" w:fill="FFFFFF"/>
        <w:snapToGrid w:val="0"/>
        <w:spacing w:line="360" w:lineRule="auto"/>
        <w:ind w:right="105" w:rightChars="50" w:firstLine="480" w:firstLineChars="200"/>
        <w:rPr>
          <w:rFonts w:hint="eastAsia" w:ascii="宋体" w:hAnsi="宋体" w:eastAsia="宋体" w:cs="_5b8b_4f53"/>
          <w:color w:val="auto"/>
          <w:sz w:val="24"/>
          <w:szCs w:val="24"/>
          <w:highlight w:val="none"/>
        </w:rPr>
      </w:pPr>
      <w:r>
        <w:rPr>
          <w:rFonts w:hint="eastAsia" w:ascii="宋体" w:hAnsi="宋体" w:eastAsia="宋体" w:cs="_5b8b_4f53"/>
          <w:color w:val="auto"/>
          <w:sz w:val="24"/>
          <w:szCs w:val="24"/>
          <w:highlight w:val="none"/>
        </w:rPr>
        <w:t>五、资格审查资料</w:t>
      </w:r>
    </w:p>
    <w:p w14:paraId="331201F1">
      <w:pPr>
        <w:shd w:val="clear" w:color="auto" w:fill="FFFFFF"/>
        <w:snapToGrid w:val="0"/>
        <w:spacing w:line="360" w:lineRule="auto"/>
        <w:ind w:right="105" w:rightChars="50" w:firstLine="480" w:firstLineChars="200"/>
        <w:rPr>
          <w:rFonts w:hint="eastAsia" w:ascii="宋体" w:hAnsi="宋体" w:eastAsia="宋体" w:cs="_5b8b_4f53"/>
          <w:color w:val="auto"/>
          <w:sz w:val="24"/>
          <w:szCs w:val="24"/>
          <w:highlight w:val="none"/>
        </w:rPr>
      </w:pPr>
      <w:r>
        <w:rPr>
          <w:rFonts w:hint="eastAsia" w:ascii="宋体" w:hAnsi="宋体" w:cs="_5b8b_4f53"/>
          <w:color w:val="auto"/>
          <w:sz w:val="24"/>
          <w:szCs w:val="24"/>
          <w:highlight w:val="none"/>
          <w:lang w:val="en-US" w:eastAsia="zh-CN"/>
        </w:rPr>
        <w:t>六</w:t>
      </w:r>
      <w:r>
        <w:rPr>
          <w:rFonts w:hint="eastAsia" w:ascii="宋体" w:hAnsi="宋体" w:eastAsia="宋体" w:cs="_5b8b_4f53"/>
          <w:color w:val="auto"/>
          <w:sz w:val="24"/>
          <w:szCs w:val="24"/>
          <w:highlight w:val="none"/>
        </w:rPr>
        <w:t>、投标承诺函</w:t>
      </w:r>
    </w:p>
    <w:p w14:paraId="3A5D9770">
      <w:pPr>
        <w:shd w:val="clear" w:color="auto" w:fill="FFFFFF"/>
        <w:snapToGrid w:val="0"/>
        <w:spacing w:line="360" w:lineRule="auto"/>
        <w:ind w:right="105" w:rightChars="50" w:firstLine="480" w:firstLineChars="200"/>
        <w:rPr>
          <w:rFonts w:hint="eastAsia" w:ascii="宋体" w:hAnsi="宋体" w:cs="_5b8b_4f53"/>
          <w:color w:val="auto"/>
          <w:sz w:val="24"/>
          <w:szCs w:val="24"/>
          <w:highlight w:val="none"/>
          <w:lang w:val="en-US" w:eastAsia="zh-CN"/>
        </w:rPr>
      </w:pPr>
      <w:r>
        <w:rPr>
          <w:rFonts w:hint="eastAsia" w:ascii="宋体" w:hAnsi="宋体" w:cs="_5b8b_4f53"/>
          <w:color w:val="auto"/>
          <w:sz w:val="24"/>
          <w:szCs w:val="24"/>
          <w:highlight w:val="none"/>
          <w:lang w:val="en-US" w:eastAsia="zh-CN"/>
        </w:rPr>
        <w:t>七</w:t>
      </w:r>
      <w:r>
        <w:rPr>
          <w:rFonts w:hint="eastAsia" w:ascii="宋体" w:hAnsi="宋体" w:eastAsia="宋体" w:cs="_5b8b_4f53"/>
          <w:color w:val="auto"/>
          <w:sz w:val="24"/>
          <w:szCs w:val="24"/>
          <w:highlight w:val="none"/>
        </w:rPr>
        <w:t>、</w:t>
      </w:r>
      <w:r>
        <w:rPr>
          <w:rFonts w:hint="eastAsia" w:ascii="宋体" w:hAnsi="宋体" w:cs="_5b8b_4f53"/>
          <w:color w:val="auto"/>
          <w:sz w:val="24"/>
          <w:szCs w:val="24"/>
          <w:highlight w:val="none"/>
          <w:lang w:val="en-US" w:eastAsia="zh-CN"/>
        </w:rPr>
        <w:t>技术标</w:t>
      </w:r>
    </w:p>
    <w:p w14:paraId="70281F14">
      <w:pPr>
        <w:shd w:val="clear" w:color="auto" w:fill="FFFFFF"/>
        <w:snapToGrid w:val="0"/>
        <w:spacing w:line="360" w:lineRule="auto"/>
        <w:ind w:right="105" w:rightChars="50" w:firstLine="480" w:firstLineChars="200"/>
        <w:rPr>
          <w:rFonts w:hint="eastAsia" w:ascii="宋体" w:hAnsi="宋体" w:cs="_5b8b_4f53"/>
          <w:color w:val="auto"/>
          <w:sz w:val="24"/>
          <w:szCs w:val="24"/>
          <w:highlight w:val="none"/>
          <w:lang w:val="en-US" w:eastAsia="zh-CN"/>
        </w:rPr>
      </w:pPr>
      <w:r>
        <w:rPr>
          <w:rFonts w:hint="eastAsia" w:ascii="宋体" w:hAnsi="宋体" w:cs="_5b8b_4f53"/>
          <w:color w:val="auto"/>
          <w:sz w:val="24"/>
          <w:szCs w:val="24"/>
          <w:highlight w:val="none"/>
          <w:lang w:val="en-US" w:eastAsia="zh-CN"/>
        </w:rPr>
        <w:t>八</w:t>
      </w:r>
      <w:r>
        <w:rPr>
          <w:rFonts w:hint="eastAsia" w:ascii="宋体" w:hAnsi="宋体" w:eastAsia="宋体" w:cs="_5b8b_4f53"/>
          <w:color w:val="auto"/>
          <w:sz w:val="24"/>
          <w:szCs w:val="24"/>
          <w:highlight w:val="none"/>
        </w:rPr>
        <w:t>、</w:t>
      </w:r>
      <w:r>
        <w:rPr>
          <w:rFonts w:hint="eastAsia" w:ascii="宋体" w:hAnsi="宋体" w:cs="_5b8b_4f53"/>
          <w:color w:val="auto"/>
          <w:sz w:val="24"/>
          <w:szCs w:val="24"/>
          <w:highlight w:val="none"/>
          <w:lang w:val="en-US" w:eastAsia="zh-CN"/>
        </w:rPr>
        <w:t>综合标</w:t>
      </w:r>
    </w:p>
    <w:p w14:paraId="6804BF05">
      <w:pPr>
        <w:shd w:val="clear" w:color="auto" w:fill="FFFFFF"/>
        <w:snapToGrid w:val="0"/>
        <w:spacing w:line="360" w:lineRule="auto"/>
        <w:ind w:right="105" w:rightChars="50" w:firstLine="480" w:firstLineChars="200"/>
        <w:rPr>
          <w:rFonts w:hint="eastAsia"/>
          <w:color w:val="auto"/>
          <w:lang w:eastAsia="zh-CN"/>
        </w:rPr>
      </w:pPr>
      <w:r>
        <w:rPr>
          <w:rFonts w:hint="eastAsia" w:ascii="宋体" w:hAnsi="宋体" w:cs="_5b8b_4f53"/>
          <w:color w:val="auto"/>
          <w:sz w:val="24"/>
          <w:szCs w:val="24"/>
          <w:highlight w:val="none"/>
          <w:lang w:val="en-US" w:eastAsia="zh-CN"/>
        </w:rPr>
        <w:t>九</w:t>
      </w:r>
      <w:r>
        <w:rPr>
          <w:rFonts w:hint="eastAsia" w:ascii="宋体" w:hAnsi="宋体" w:eastAsia="宋体" w:cs="_5b8b_4f53"/>
          <w:color w:val="auto"/>
          <w:sz w:val="24"/>
          <w:szCs w:val="24"/>
          <w:highlight w:val="none"/>
        </w:rPr>
        <w:t>、</w:t>
      </w:r>
      <w:r>
        <w:rPr>
          <w:rFonts w:hint="eastAsia" w:ascii="宋体" w:hAnsi="宋体" w:cs="_5b8b_4f53"/>
          <w:color w:val="auto"/>
          <w:sz w:val="24"/>
          <w:szCs w:val="24"/>
          <w:highlight w:val="none"/>
          <w:lang w:val="en-US" w:eastAsia="zh-CN"/>
        </w:rPr>
        <w:t>其他材料</w:t>
      </w:r>
    </w:p>
    <w:p w14:paraId="4526AE50">
      <w:pPr>
        <w:keepNext w:val="0"/>
        <w:keepLines w:val="0"/>
        <w:pageBreakBefore w:val="0"/>
        <w:widowControl w:val="0"/>
        <w:kinsoku/>
        <w:overflowPunct/>
        <w:topLinePunct w:val="0"/>
        <w:autoSpaceDE w:val="0"/>
        <w:autoSpaceDN w:val="0"/>
        <w:bidi w:val="0"/>
        <w:adjustRightInd w:val="0"/>
        <w:snapToGrid/>
        <w:spacing w:line="360" w:lineRule="auto"/>
        <w:ind w:firstLine="482" w:firstLineChars="200"/>
        <w:jc w:val="left"/>
        <w:textAlignment w:val="auto"/>
        <w:outlineLvl w:val="1"/>
        <w:rPr>
          <w:rFonts w:ascii="宋体" w:hAnsi="宋体" w:cs="宋体"/>
          <w:b/>
          <w:bCs/>
          <w:color w:val="auto"/>
          <w:sz w:val="24"/>
          <w:szCs w:val="24"/>
          <w:highlight w:val="none"/>
        </w:rPr>
      </w:pPr>
      <w:bookmarkStart w:id="57" w:name="_Toc24729"/>
      <w:bookmarkStart w:id="58" w:name="_Toc6816"/>
      <w:r>
        <w:rPr>
          <w:rFonts w:ascii="宋体" w:hAnsi="宋体" w:cs="宋体"/>
          <w:b/>
          <w:bCs/>
          <w:color w:val="auto"/>
          <w:sz w:val="24"/>
          <w:szCs w:val="24"/>
          <w:highlight w:val="none"/>
        </w:rPr>
        <w:t>14</w:t>
      </w:r>
      <w:r>
        <w:rPr>
          <w:rFonts w:hint="eastAsia" w:ascii="宋体" w:hAnsi="宋体" w:cs="宋体"/>
          <w:b/>
          <w:bCs/>
          <w:color w:val="auto"/>
          <w:sz w:val="24"/>
          <w:szCs w:val="24"/>
          <w:highlight w:val="none"/>
        </w:rPr>
        <w:t>、电子化投标文件的格式</w:t>
      </w:r>
      <w:bookmarkEnd w:id="57"/>
      <w:bookmarkEnd w:id="58"/>
    </w:p>
    <w:p w14:paraId="36DE48D9">
      <w:pPr>
        <w:keepNext w:val="0"/>
        <w:keepLines w:val="0"/>
        <w:pageBreakBefore w:val="0"/>
        <w:widowControl w:val="0"/>
        <w:kinsoku/>
        <w:wordWrap w:val="0"/>
        <w:overflowPunct/>
        <w:topLinePunct w:val="0"/>
        <w:bidi w:val="0"/>
        <w:snapToGrid/>
        <w:spacing w:line="360" w:lineRule="auto"/>
        <w:ind w:firstLine="480" w:firstLineChars="200"/>
        <w:textAlignment w:val="auto"/>
        <w:rPr>
          <w:rFonts w:hint="eastAsia" w:ascii="宋体" w:hAnsi="宋体" w:eastAsia="宋体" w:cs="_5b8b_4f53"/>
          <w:color w:val="auto"/>
          <w:sz w:val="24"/>
          <w:szCs w:val="24"/>
          <w:highlight w:val="none"/>
        </w:rPr>
      </w:pPr>
      <w:r>
        <w:rPr>
          <w:rFonts w:ascii="宋体" w:hAnsi="宋体" w:cs="_5b8b_4f53"/>
          <w:color w:val="auto"/>
          <w:sz w:val="24"/>
          <w:szCs w:val="24"/>
          <w:highlight w:val="none"/>
        </w:rPr>
        <w:t>14.1</w:t>
      </w:r>
      <w:r>
        <w:rPr>
          <w:rFonts w:hint="eastAsia" w:ascii="宋体" w:hAnsi="宋体" w:eastAsia="宋体" w:cs="_5b8b_4f53"/>
          <w:color w:val="auto"/>
          <w:sz w:val="24"/>
          <w:szCs w:val="24"/>
          <w:highlight w:val="none"/>
        </w:rPr>
        <w:t>投标人所上传的电子化投标文件，应是通过中心投标文件制作系统制作的（电子化投标文件工具请在三门峡市公共资源交易中心网首页“帮助中心”下载），经过签章和加密后生成的电子版投标文件。生成的电子版投标文件包含用于投标文件上传的主文件（后缀为.smxtf）和用于应急补救的投标文件备份文件（后缀为.nsmxtf），备份文件主要用于电子化开标出现技术问题后的补救，请投标人随身携带。</w:t>
      </w:r>
    </w:p>
    <w:p w14:paraId="68DE35E2">
      <w:pPr>
        <w:keepNext w:val="0"/>
        <w:keepLines w:val="0"/>
        <w:pageBreakBefore w:val="0"/>
        <w:widowControl w:val="0"/>
        <w:kinsoku/>
        <w:overflowPunct/>
        <w:topLinePunct w:val="0"/>
        <w:bidi w:val="0"/>
        <w:snapToGrid/>
        <w:spacing w:line="360" w:lineRule="auto"/>
        <w:ind w:firstLine="480" w:firstLineChars="200"/>
        <w:textAlignment w:val="auto"/>
        <w:rPr>
          <w:rFonts w:ascii="宋体" w:hAnsi="宋体" w:cs="_5b8b_4f53"/>
          <w:color w:val="auto"/>
          <w:sz w:val="24"/>
          <w:szCs w:val="24"/>
          <w:highlight w:val="none"/>
        </w:rPr>
      </w:pPr>
      <w:r>
        <w:rPr>
          <w:rFonts w:hint="eastAsia" w:ascii="宋体" w:hAnsi="宋体" w:cs="_5b8b_4f53"/>
          <w:color w:val="auto"/>
          <w:sz w:val="24"/>
          <w:szCs w:val="24"/>
          <w:highlight w:val="none"/>
        </w:rPr>
        <w:t>注：投标人投报多个标段的，需要每个标段单独制作电子投标文件。</w:t>
      </w:r>
    </w:p>
    <w:p w14:paraId="2E1C9E92">
      <w:pPr>
        <w:keepNext w:val="0"/>
        <w:keepLines w:val="0"/>
        <w:pageBreakBefore w:val="0"/>
        <w:widowControl w:val="0"/>
        <w:kinsoku/>
        <w:overflowPunct/>
        <w:topLinePunct w:val="0"/>
        <w:autoSpaceDE w:val="0"/>
        <w:autoSpaceDN w:val="0"/>
        <w:bidi w:val="0"/>
        <w:adjustRightInd w:val="0"/>
        <w:snapToGrid/>
        <w:spacing w:line="360" w:lineRule="auto"/>
        <w:ind w:firstLine="480" w:firstLineChars="200"/>
        <w:jc w:val="left"/>
        <w:textAlignment w:val="auto"/>
        <w:outlineLvl w:val="1"/>
        <w:rPr>
          <w:rFonts w:ascii="宋体" w:hAnsi="宋体" w:cs="宋体"/>
          <w:color w:val="auto"/>
          <w:kern w:val="0"/>
          <w:sz w:val="24"/>
          <w:szCs w:val="24"/>
          <w:highlight w:val="none"/>
        </w:rPr>
      </w:pPr>
      <w:bookmarkStart w:id="59" w:name="_Toc7944"/>
      <w:bookmarkStart w:id="60" w:name="_Toc19721"/>
      <w:r>
        <w:rPr>
          <w:rFonts w:ascii="宋体" w:hAnsi="宋体" w:cs="宋体"/>
          <w:color w:val="auto"/>
          <w:kern w:val="0"/>
          <w:sz w:val="24"/>
          <w:szCs w:val="24"/>
          <w:highlight w:val="none"/>
        </w:rPr>
        <w:t>15</w:t>
      </w:r>
      <w:r>
        <w:rPr>
          <w:rFonts w:hint="eastAsia" w:ascii="宋体" w:hAnsi="宋体" w:cs="宋体"/>
          <w:color w:val="auto"/>
          <w:kern w:val="0"/>
          <w:sz w:val="24"/>
          <w:szCs w:val="24"/>
          <w:highlight w:val="none"/>
        </w:rPr>
        <w:t>、电子化投标文件的签章</w:t>
      </w:r>
      <w:bookmarkEnd w:id="59"/>
      <w:bookmarkEnd w:id="60"/>
    </w:p>
    <w:p w14:paraId="077666D3">
      <w:pPr>
        <w:keepNext w:val="0"/>
        <w:keepLines w:val="0"/>
        <w:pageBreakBefore w:val="0"/>
        <w:widowControl w:val="0"/>
        <w:kinsoku/>
        <w:wordWrap w:val="0"/>
        <w:overflowPunct/>
        <w:topLinePunct w:val="0"/>
        <w:bidi w:val="0"/>
        <w:snapToGrid/>
        <w:spacing w:line="360" w:lineRule="auto"/>
        <w:ind w:firstLine="480" w:firstLineChars="200"/>
        <w:textAlignment w:val="auto"/>
        <w:rPr>
          <w:rFonts w:hint="eastAsia" w:ascii="宋体" w:hAnsi="宋体" w:eastAsia="宋体" w:cs="_5b8b_4f53"/>
          <w:color w:val="auto"/>
          <w:sz w:val="24"/>
          <w:szCs w:val="24"/>
          <w:highlight w:val="none"/>
        </w:rPr>
      </w:pPr>
      <w:r>
        <w:rPr>
          <w:rFonts w:hint="eastAsia" w:ascii="宋体" w:hAnsi="宋体" w:eastAsia="宋体" w:cs="_5b8b_4f53"/>
          <w:color w:val="auto"/>
          <w:sz w:val="24"/>
          <w:szCs w:val="24"/>
          <w:highlight w:val="none"/>
          <w:lang w:val="en-US" w:eastAsia="zh-CN"/>
        </w:rPr>
        <w:t>15.1</w:t>
      </w:r>
      <w:r>
        <w:rPr>
          <w:rFonts w:hint="eastAsia" w:ascii="宋体" w:hAnsi="宋体" w:eastAsia="宋体" w:cs="_5b8b_4f53"/>
          <w:color w:val="auto"/>
          <w:sz w:val="24"/>
          <w:szCs w:val="24"/>
          <w:highlight w:val="none"/>
        </w:rPr>
        <w:t>投标人在生成电子化投标文件后，应对电子化投标文件进行签章，未进行签章的视为无效投标。</w:t>
      </w:r>
    </w:p>
    <w:p w14:paraId="21256AD8">
      <w:pPr>
        <w:keepNext w:val="0"/>
        <w:keepLines w:val="0"/>
        <w:pageBreakBefore w:val="0"/>
        <w:widowControl w:val="0"/>
        <w:kinsoku/>
        <w:wordWrap w:val="0"/>
        <w:overflowPunct/>
        <w:topLinePunct w:val="0"/>
        <w:bidi w:val="0"/>
        <w:snapToGrid/>
        <w:spacing w:line="360" w:lineRule="auto"/>
        <w:ind w:firstLine="480" w:firstLineChars="200"/>
        <w:textAlignment w:val="auto"/>
        <w:rPr>
          <w:rFonts w:hint="eastAsia" w:ascii="宋体" w:hAnsi="宋体" w:eastAsia="宋体" w:cs="_5b8b_4f53"/>
          <w:color w:val="auto"/>
          <w:sz w:val="24"/>
          <w:szCs w:val="24"/>
          <w:highlight w:val="none"/>
          <w:lang w:val="en-US" w:eastAsia="zh-CN"/>
        </w:rPr>
      </w:pPr>
      <w:r>
        <w:rPr>
          <w:rFonts w:hint="eastAsia" w:ascii="宋体" w:hAnsi="宋体" w:eastAsia="宋体" w:cs="_5b8b_4f53"/>
          <w:color w:val="auto"/>
          <w:sz w:val="24"/>
          <w:szCs w:val="24"/>
          <w:highlight w:val="none"/>
          <w:lang w:val="en-US" w:eastAsia="zh-CN"/>
        </w:rPr>
        <w:t>15.2</w:t>
      </w:r>
      <w:r>
        <w:rPr>
          <w:rFonts w:hint="eastAsia" w:ascii="宋体" w:hAnsi="宋体" w:eastAsia="宋体" w:cs="_5b8b_4f53"/>
          <w:color w:val="auto"/>
          <w:sz w:val="24"/>
          <w:szCs w:val="24"/>
          <w:highlight w:val="none"/>
        </w:rPr>
        <w:t>投标文件中要求法定代表人或授权委托人盖章的，投标人在进行电子化投标文件签章时，以签盖法定代表人签章为准。电子化投标文件具体制作教材请投标人通过CA证书登录三门峡市公共资源电子化交易系统在右上角“交易智库”中查看。电子化投标文件工具请在三门峡市公共资源交易中心网首页“帮助中心”下载</w:t>
      </w:r>
      <w:r>
        <w:rPr>
          <w:rFonts w:hint="eastAsia" w:ascii="宋体" w:hAnsi="宋体" w:eastAsia="宋体" w:cs="_5b8b_4f53"/>
          <w:color w:val="auto"/>
          <w:sz w:val="24"/>
          <w:szCs w:val="24"/>
          <w:highlight w:val="none"/>
          <w:lang w:eastAsia="zh-CN"/>
        </w:rPr>
        <w:t>。</w:t>
      </w:r>
    </w:p>
    <w:p w14:paraId="79C3F92B">
      <w:pPr>
        <w:shd w:val="clear" w:color="auto" w:fill="FFFFFF"/>
        <w:snapToGrid w:val="0"/>
        <w:spacing w:line="360" w:lineRule="auto"/>
        <w:ind w:right="105" w:rightChars="50"/>
        <w:jc w:val="center"/>
        <w:outlineLvl w:val="0"/>
        <w:rPr>
          <w:rFonts w:hint="eastAsia" w:ascii="宋体" w:hAnsi="宋体" w:eastAsia="宋体" w:cs="宋体"/>
          <w:b/>
          <w:bCs/>
          <w:color w:val="auto"/>
          <w:sz w:val="36"/>
          <w:szCs w:val="36"/>
          <w:highlight w:val="none"/>
        </w:rPr>
      </w:pPr>
      <w:bookmarkStart w:id="61" w:name="_Toc8954"/>
      <w:bookmarkStart w:id="62" w:name="_Toc6869"/>
      <w:r>
        <w:rPr>
          <w:rFonts w:hint="eastAsia" w:ascii="宋体" w:hAnsi="宋体" w:eastAsia="宋体" w:cs="宋体"/>
          <w:b/>
          <w:bCs/>
          <w:color w:val="auto"/>
          <w:sz w:val="36"/>
          <w:szCs w:val="36"/>
          <w:highlight w:val="none"/>
        </w:rPr>
        <w:t>四、投标文件的上传</w:t>
      </w:r>
      <w:bookmarkEnd w:id="61"/>
      <w:bookmarkEnd w:id="62"/>
    </w:p>
    <w:p w14:paraId="4EA0EF01">
      <w:pPr>
        <w:keepNext w:val="0"/>
        <w:keepLines w:val="0"/>
        <w:pageBreakBefore w:val="0"/>
        <w:widowControl w:val="0"/>
        <w:shd w:val="clear" w:color="auto" w:fill="FFFFFF"/>
        <w:kinsoku/>
        <w:wordWrap/>
        <w:overflowPunct/>
        <w:topLinePunct w:val="0"/>
        <w:autoSpaceDE/>
        <w:autoSpaceDN/>
        <w:bidi w:val="0"/>
        <w:adjustRightInd/>
        <w:snapToGrid w:val="0"/>
        <w:spacing w:line="360" w:lineRule="auto"/>
        <w:ind w:right="105" w:rightChars="50" w:firstLine="482" w:firstLineChars="200"/>
        <w:textAlignment w:val="auto"/>
        <w:outlineLvl w:val="1"/>
        <w:rPr>
          <w:rFonts w:ascii="宋体" w:hAnsi="宋体" w:cs="宋体"/>
          <w:b/>
          <w:bCs/>
          <w:color w:val="auto"/>
          <w:sz w:val="24"/>
          <w:szCs w:val="24"/>
          <w:highlight w:val="none"/>
        </w:rPr>
      </w:pPr>
      <w:bookmarkStart w:id="63" w:name="_Toc32471"/>
      <w:bookmarkStart w:id="64" w:name="_Toc31892"/>
      <w:r>
        <w:rPr>
          <w:rFonts w:hint="eastAsia" w:ascii="宋体" w:hAnsi="宋体" w:cs="_5b8b_4f53"/>
          <w:b/>
          <w:bCs/>
          <w:color w:val="auto"/>
          <w:sz w:val="24"/>
          <w:szCs w:val="24"/>
          <w:highlight w:val="none"/>
        </w:rPr>
        <w:t>16</w:t>
      </w:r>
      <w:r>
        <w:rPr>
          <w:rFonts w:hint="eastAsia" w:ascii="宋体" w:hAnsi="宋体" w:cs="宋体"/>
          <w:b/>
          <w:bCs/>
          <w:color w:val="auto"/>
          <w:sz w:val="24"/>
          <w:szCs w:val="24"/>
          <w:highlight w:val="none"/>
        </w:rPr>
        <w:t>、投标文件上传</w:t>
      </w:r>
      <w:bookmarkEnd w:id="63"/>
      <w:bookmarkEnd w:id="64"/>
    </w:p>
    <w:p w14:paraId="0C1A2BDF">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16.1电子化投标文件应在投标截止时间前成功上传至三门峡市公共资源电子化交易系统。至投标截止时间止，仍未上传成功的电子化投标文件将不予接收。</w:t>
      </w:r>
    </w:p>
    <w:p w14:paraId="02D3215C">
      <w:pPr>
        <w:spacing w:line="360" w:lineRule="auto"/>
        <w:ind w:right="105" w:rightChars="50"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6696CB22">
      <w:pPr>
        <w:shd w:val="clear" w:color="auto" w:fill="FFFFFF"/>
        <w:snapToGrid w:val="0"/>
        <w:spacing w:line="360" w:lineRule="auto"/>
        <w:ind w:right="105" w:rightChars="50" w:firstLine="482" w:firstLineChars="200"/>
        <w:outlineLvl w:val="1"/>
        <w:rPr>
          <w:rFonts w:ascii="宋体" w:hAnsi="宋体" w:cs="_5b8b_4f53"/>
          <w:color w:val="auto"/>
          <w:sz w:val="24"/>
          <w:szCs w:val="24"/>
          <w:highlight w:val="none"/>
        </w:rPr>
      </w:pPr>
      <w:bookmarkStart w:id="65" w:name="_Toc5762"/>
      <w:bookmarkStart w:id="66" w:name="_Toc13492"/>
      <w:r>
        <w:rPr>
          <w:rFonts w:hint="eastAsia" w:ascii="宋体" w:hAnsi="宋体" w:cs="_5b8b_4f53"/>
          <w:b/>
          <w:bCs/>
          <w:color w:val="auto"/>
          <w:sz w:val="24"/>
          <w:szCs w:val="24"/>
          <w:highlight w:val="none"/>
        </w:rPr>
        <w:t>17</w:t>
      </w:r>
      <w:r>
        <w:rPr>
          <w:rFonts w:ascii="宋体" w:hAnsi="宋体" w:cs="_5b8b_4f53"/>
          <w:b/>
          <w:bCs/>
          <w:color w:val="auto"/>
          <w:sz w:val="24"/>
          <w:szCs w:val="24"/>
          <w:highlight w:val="none"/>
        </w:rPr>
        <w:t>.</w:t>
      </w:r>
      <w:r>
        <w:rPr>
          <w:rFonts w:hint="eastAsia" w:ascii="宋体" w:hAnsi="宋体" w:cs="宋体"/>
          <w:b/>
          <w:bCs/>
          <w:color w:val="auto"/>
          <w:sz w:val="24"/>
          <w:szCs w:val="24"/>
          <w:highlight w:val="none"/>
        </w:rPr>
        <w:t>投标截止时间</w:t>
      </w:r>
      <w:bookmarkEnd w:id="65"/>
      <w:bookmarkEnd w:id="66"/>
    </w:p>
    <w:p w14:paraId="03824F9B">
      <w:pPr>
        <w:shd w:val="clear" w:color="auto" w:fill="FFFFFF"/>
        <w:snapToGrid w:val="0"/>
        <w:spacing w:line="360" w:lineRule="auto"/>
        <w:ind w:right="105" w:rightChars="50" w:firstLine="482" w:firstLineChars="200"/>
        <w:rPr>
          <w:rFonts w:hint="eastAsia" w:ascii="宋体" w:hAnsi="宋体" w:cs="_5b8b_4f53"/>
          <w:color w:val="auto"/>
          <w:sz w:val="24"/>
          <w:szCs w:val="24"/>
          <w:highlight w:val="none"/>
        </w:rPr>
      </w:pPr>
      <w:r>
        <w:rPr>
          <w:rFonts w:hint="eastAsia" w:ascii="宋体" w:hAnsi="宋体" w:cs="_5b8b_4f53"/>
          <w:b/>
          <w:bCs/>
          <w:color w:val="auto"/>
          <w:sz w:val="24"/>
          <w:szCs w:val="24"/>
          <w:highlight w:val="none"/>
        </w:rPr>
        <w:t>17.1</w:t>
      </w:r>
      <w:r>
        <w:rPr>
          <w:rFonts w:hint="eastAsia" w:ascii="宋体" w:hAnsi="宋体" w:cs="_5b8b_4f53"/>
          <w:color w:val="auto"/>
          <w:sz w:val="24"/>
          <w:szCs w:val="24"/>
          <w:highlight w:val="none"/>
        </w:rPr>
        <w:t>投标文件的截止时间见本须知前附表规定。</w:t>
      </w:r>
    </w:p>
    <w:p w14:paraId="7CD79F60">
      <w:pPr>
        <w:shd w:val="clear" w:color="auto" w:fill="FFFFFF"/>
        <w:snapToGrid w:val="0"/>
        <w:spacing w:line="360" w:lineRule="auto"/>
        <w:ind w:right="105" w:rightChars="50" w:firstLine="482" w:firstLineChars="200"/>
        <w:rPr>
          <w:rFonts w:hint="eastAsia" w:ascii="宋体" w:hAnsi="宋体" w:cs="_5b8b_4f53"/>
          <w:color w:val="auto"/>
          <w:sz w:val="24"/>
          <w:szCs w:val="24"/>
          <w:highlight w:val="none"/>
        </w:rPr>
      </w:pPr>
      <w:r>
        <w:rPr>
          <w:rFonts w:hint="eastAsia" w:ascii="宋体" w:hAnsi="宋体" w:cs="_5b8b_4f53"/>
          <w:b/>
          <w:bCs/>
          <w:color w:val="auto"/>
          <w:sz w:val="24"/>
          <w:szCs w:val="24"/>
          <w:highlight w:val="none"/>
        </w:rPr>
        <w:t>17.</w:t>
      </w:r>
      <w:r>
        <w:rPr>
          <w:rFonts w:hint="eastAsia" w:ascii="宋体" w:hAnsi="宋体" w:cs="_5b8b_4f53"/>
          <w:b/>
          <w:bCs/>
          <w:color w:val="auto"/>
          <w:sz w:val="24"/>
          <w:szCs w:val="24"/>
          <w:highlight w:val="none"/>
          <w:lang w:val="en-US" w:eastAsia="zh-CN"/>
        </w:rPr>
        <w:t>2</w:t>
      </w:r>
      <w:r>
        <w:rPr>
          <w:rFonts w:hint="eastAsia" w:ascii="宋体" w:hAnsi="宋体" w:cs="_5b8b_4f53"/>
          <w:color w:val="auto"/>
          <w:sz w:val="24"/>
          <w:szCs w:val="24"/>
          <w:highlight w:val="none"/>
        </w:rPr>
        <w:t>到投标截止时间止，采购人收到的投标文件少于</w:t>
      </w:r>
      <w:r>
        <w:rPr>
          <w:rFonts w:ascii="宋体" w:hAnsi="宋体" w:cs="_5b8b_4f53"/>
          <w:color w:val="auto"/>
          <w:sz w:val="24"/>
          <w:szCs w:val="24"/>
          <w:highlight w:val="none"/>
        </w:rPr>
        <w:t>3</w:t>
      </w:r>
      <w:r>
        <w:rPr>
          <w:rFonts w:hint="eastAsia" w:ascii="宋体" w:hAnsi="宋体" w:cs="_5b8b_4f53"/>
          <w:color w:val="auto"/>
          <w:sz w:val="24"/>
          <w:szCs w:val="24"/>
          <w:highlight w:val="none"/>
        </w:rPr>
        <w:t>个的，采购人将依法重新组织招标。</w:t>
      </w:r>
    </w:p>
    <w:p w14:paraId="2A271179">
      <w:pPr>
        <w:shd w:val="clear" w:color="auto" w:fill="FFFFFF"/>
        <w:snapToGrid w:val="0"/>
        <w:spacing w:line="360" w:lineRule="auto"/>
        <w:ind w:right="105" w:rightChars="50" w:firstLine="480" w:firstLineChars="200"/>
        <w:rPr>
          <w:rFonts w:hint="eastAsia" w:ascii="宋体" w:hAnsi="宋体" w:cs="_5b8b_4f53"/>
          <w:color w:val="auto"/>
          <w:sz w:val="24"/>
          <w:szCs w:val="24"/>
          <w:highlight w:val="none"/>
        </w:rPr>
      </w:pPr>
      <w:r>
        <w:rPr>
          <w:rFonts w:ascii="宋体" w:hAnsi="宋体" w:cs="宋体"/>
          <w:color w:val="auto"/>
          <w:kern w:val="0"/>
          <w:sz w:val="24"/>
          <w:szCs w:val="24"/>
          <w:highlight w:val="none"/>
        </w:rPr>
        <w:t>17.</w:t>
      </w:r>
      <w:r>
        <w:rPr>
          <w:rFonts w:hint="eastAsia" w:ascii="宋体" w:hAnsi="宋体" w:cs="宋体"/>
          <w:color w:val="auto"/>
          <w:kern w:val="0"/>
          <w:sz w:val="24"/>
          <w:szCs w:val="24"/>
          <w:highlight w:val="none"/>
          <w:lang w:val="en-US" w:eastAsia="zh-CN"/>
        </w:rPr>
        <w:t>3</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rPr>
        <w:t>电子化投标文件的补充、修改与撤回</w:t>
      </w:r>
    </w:p>
    <w:p w14:paraId="3E72DA9E">
      <w:pPr>
        <w:shd w:val="clear" w:color="auto" w:fill="FFFFFF"/>
        <w:snapToGrid w:val="0"/>
        <w:spacing w:line="360" w:lineRule="auto"/>
        <w:ind w:right="105" w:rightChars="50" w:firstLine="480" w:firstLineChars="200"/>
        <w:rPr>
          <w:rFonts w:ascii="宋体" w:hAnsi="宋体" w:cs="_5b8b_4f53"/>
          <w:color w:val="auto"/>
          <w:sz w:val="24"/>
          <w:szCs w:val="24"/>
          <w:highlight w:val="none"/>
        </w:rPr>
      </w:pPr>
      <w:r>
        <w:rPr>
          <w:rFonts w:ascii="宋体" w:hAnsi="宋体" w:cs="宋体"/>
          <w:color w:val="auto"/>
          <w:kern w:val="0"/>
          <w:sz w:val="24"/>
          <w:szCs w:val="24"/>
          <w:highlight w:val="none"/>
        </w:rPr>
        <w:t>17.</w:t>
      </w:r>
      <w:r>
        <w:rPr>
          <w:rFonts w:hint="eastAsia" w:ascii="宋体" w:hAnsi="宋体" w:cs="宋体"/>
          <w:color w:val="auto"/>
          <w:kern w:val="0"/>
          <w:sz w:val="24"/>
          <w:szCs w:val="24"/>
          <w:highlight w:val="none"/>
          <w:lang w:val="en-US" w:eastAsia="zh-CN"/>
        </w:rPr>
        <w:t>3</w:t>
      </w:r>
      <w:r>
        <w:rPr>
          <w:rFonts w:ascii="宋体" w:hAnsi="宋体" w:cs="宋体"/>
          <w:color w:val="auto"/>
          <w:kern w:val="0"/>
          <w:sz w:val="24"/>
          <w:szCs w:val="24"/>
          <w:highlight w:val="none"/>
        </w:rPr>
        <w:t xml:space="preserve">.1 </w:t>
      </w:r>
      <w:r>
        <w:rPr>
          <w:rFonts w:hint="eastAsia" w:ascii="宋体" w:hAnsi="宋体" w:cs="宋体"/>
          <w:color w:val="auto"/>
          <w:kern w:val="0"/>
          <w:sz w:val="24"/>
          <w:szCs w:val="24"/>
          <w:highlight w:val="none"/>
        </w:rPr>
        <w:t>在投标截止时间之后，投标供应商不得补充、修改电子化投标文件。</w:t>
      </w:r>
    </w:p>
    <w:p w14:paraId="1E2F8C88">
      <w:pPr>
        <w:shd w:val="clear" w:color="auto" w:fill="FFFFFF"/>
        <w:snapToGrid w:val="0"/>
        <w:spacing w:line="360" w:lineRule="auto"/>
        <w:ind w:right="105" w:rightChars="50" w:firstLine="3975" w:firstLineChars="1100"/>
        <w:outlineLvl w:val="0"/>
        <w:rPr>
          <w:rFonts w:hint="eastAsia" w:ascii="宋体" w:hAnsi="宋体" w:eastAsia="宋体" w:cs="宋体"/>
          <w:b/>
          <w:bCs/>
          <w:color w:val="auto"/>
          <w:sz w:val="36"/>
          <w:szCs w:val="36"/>
          <w:highlight w:val="none"/>
        </w:rPr>
      </w:pPr>
      <w:bookmarkStart w:id="67" w:name="_Toc30719"/>
      <w:bookmarkStart w:id="68" w:name="_Toc26266"/>
      <w:r>
        <w:rPr>
          <w:rFonts w:hint="eastAsia" w:ascii="宋体" w:hAnsi="宋体" w:eastAsia="宋体" w:cs="宋体"/>
          <w:b/>
          <w:bCs/>
          <w:color w:val="auto"/>
          <w:sz w:val="36"/>
          <w:szCs w:val="36"/>
          <w:highlight w:val="none"/>
        </w:rPr>
        <w:t>五、开标</w:t>
      </w:r>
      <w:bookmarkEnd w:id="67"/>
      <w:bookmarkEnd w:id="68"/>
    </w:p>
    <w:p w14:paraId="209CD3BB">
      <w:pPr>
        <w:shd w:val="clear" w:color="auto" w:fill="FFFFFF"/>
        <w:snapToGrid w:val="0"/>
        <w:spacing w:line="360" w:lineRule="auto"/>
        <w:ind w:right="105" w:rightChars="50" w:firstLine="482" w:firstLineChars="200"/>
        <w:outlineLvl w:val="1"/>
        <w:rPr>
          <w:rFonts w:ascii="宋体" w:hAnsi="宋体" w:cs="_5b8b_4f53"/>
          <w:color w:val="auto"/>
          <w:sz w:val="24"/>
          <w:szCs w:val="24"/>
          <w:highlight w:val="none"/>
        </w:rPr>
      </w:pPr>
      <w:bookmarkStart w:id="69" w:name="_Toc19065"/>
      <w:bookmarkStart w:id="70" w:name="_Toc31687"/>
      <w:r>
        <w:rPr>
          <w:rFonts w:hint="eastAsia" w:ascii="宋体" w:hAnsi="宋体" w:cs="_5b8b_4f53"/>
          <w:b/>
          <w:bCs/>
          <w:color w:val="auto"/>
          <w:sz w:val="24"/>
          <w:szCs w:val="24"/>
          <w:highlight w:val="none"/>
        </w:rPr>
        <w:t>18、</w:t>
      </w:r>
      <w:r>
        <w:rPr>
          <w:rFonts w:hint="eastAsia" w:ascii="宋体" w:hAnsi="宋体" w:cs="宋体"/>
          <w:b/>
          <w:bCs/>
          <w:color w:val="auto"/>
          <w:sz w:val="24"/>
          <w:szCs w:val="24"/>
          <w:highlight w:val="none"/>
        </w:rPr>
        <w:t>开标</w:t>
      </w:r>
      <w:bookmarkEnd w:id="69"/>
      <w:bookmarkEnd w:id="70"/>
    </w:p>
    <w:p w14:paraId="5018E2E2">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color w:val="auto"/>
          <w:sz w:val="24"/>
          <w:szCs w:val="24"/>
          <w:highlight w:val="none"/>
        </w:rPr>
        <w:t>18.1</w:t>
      </w:r>
      <w:r>
        <w:rPr>
          <w:rFonts w:hint="eastAsia" w:ascii="宋体" w:hAnsi="宋体" w:cs="宋体"/>
          <w:color w:val="auto"/>
          <w:sz w:val="24"/>
          <w:szCs w:val="24"/>
          <w:highlight w:val="none"/>
        </w:rPr>
        <w:t>采购人按本须知前附表所规定的时间和地点公开开标，开标会议由招标代理机构主持，在有关部门监督下进行。</w:t>
      </w:r>
    </w:p>
    <w:p w14:paraId="15590A31">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bCs/>
          <w:color w:val="auto"/>
          <w:sz w:val="24"/>
          <w:szCs w:val="24"/>
          <w:highlight w:val="none"/>
        </w:rPr>
        <w:t>18.2</w:t>
      </w:r>
      <w:r>
        <w:rPr>
          <w:rFonts w:hint="eastAsia" w:ascii="宋体" w:hAnsi="宋体" w:cs="宋体"/>
          <w:b/>
          <w:bCs/>
          <w:color w:val="auto"/>
          <w:sz w:val="24"/>
          <w:szCs w:val="24"/>
          <w:highlight w:val="none"/>
        </w:rPr>
        <w:t>开标程序：</w:t>
      </w:r>
    </w:p>
    <w:p w14:paraId="491FB6A0">
      <w:pPr>
        <w:shd w:val="clear" w:color="auto" w:fill="FFFFFF"/>
        <w:snapToGrid w:val="0"/>
        <w:spacing w:line="360" w:lineRule="auto"/>
        <w:ind w:right="105" w:rightChars="50" w:firstLine="482" w:firstLineChars="200"/>
        <w:rPr>
          <w:rFonts w:hint="eastAsia" w:ascii="宋体" w:hAnsi="宋体" w:cs="宋体"/>
          <w:color w:val="auto"/>
          <w:sz w:val="24"/>
          <w:szCs w:val="24"/>
          <w:highlight w:val="none"/>
        </w:rPr>
      </w:pPr>
      <w:r>
        <w:rPr>
          <w:rFonts w:hint="eastAsia" w:ascii="宋体" w:hAnsi="宋体" w:cs="_5b8b_4f53"/>
          <w:b/>
          <w:color w:val="auto"/>
          <w:sz w:val="24"/>
          <w:szCs w:val="24"/>
          <w:highlight w:val="none"/>
        </w:rPr>
        <w:t>18.2.1</w:t>
      </w:r>
      <w:r>
        <w:rPr>
          <w:rFonts w:hint="eastAsia" w:ascii="宋体" w:hAnsi="宋体" w:cs="宋体"/>
          <w:color w:val="auto"/>
          <w:sz w:val="24"/>
          <w:szCs w:val="24"/>
          <w:highlight w:val="none"/>
        </w:rPr>
        <w:t>开标由招标代理机构主持；</w:t>
      </w:r>
    </w:p>
    <w:p w14:paraId="177E1FCF">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宋体"/>
          <w:b/>
          <w:color w:val="auto"/>
          <w:sz w:val="24"/>
          <w:szCs w:val="24"/>
          <w:highlight w:val="none"/>
        </w:rPr>
        <w:t>18.2.2</w:t>
      </w:r>
      <w:r>
        <w:rPr>
          <w:rFonts w:hint="eastAsia" w:ascii="宋体" w:hAnsi="宋体" w:cs="宋体"/>
          <w:color w:val="auto"/>
          <w:sz w:val="24"/>
          <w:szCs w:val="24"/>
          <w:highlight w:val="none"/>
        </w:rPr>
        <w:t>介绍本项目的情况；</w:t>
      </w:r>
    </w:p>
    <w:p w14:paraId="5EF1DA9F">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color w:val="auto"/>
          <w:sz w:val="24"/>
          <w:szCs w:val="24"/>
          <w:highlight w:val="none"/>
        </w:rPr>
        <w:t>18.2.3</w:t>
      </w:r>
      <w:r>
        <w:rPr>
          <w:rFonts w:hint="eastAsia" w:ascii="宋体" w:hAnsi="宋体" w:cs="宋体"/>
          <w:color w:val="auto"/>
          <w:sz w:val="24"/>
          <w:szCs w:val="24"/>
          <w:highlight w:val="none"/>
        </w:rPr>
        <w:t>宣布开标会议纪律；</w:t>
      </w:r>
    </w:p>
    <w:p w14:paraId="60DA7494">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color w:val="auto"/>
          <w:sz w:val="24"/>
          <w:szCs w:val="24"/>
          <w:highlight w:val="none"/>
        </w:rPr>
        <w:t>18.2.4</w:t>
      </w:r>
      <w:r>
        <w:rPr>
          <w:rFonts w:hint="eastAsia" w:ascii="宋体" w:hAnsi="宋体" w:cs="宋体"/>
          <w:color w:val="auto"/>
          <w:sz w:val="24"/>
          <w:szCs w:val="24"/>
          <w:highlight w:val="none"/>
        </w:rPr>
        <w:t>介绍参会的采购人、监督人；</w:t>
      </w:r>
    </w:p>
    <w:p w14:paraId="3AB2C5A4">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color w:val="auto"/>
          <w:sz w:val="24"/>
          <w:szCs w:val="24"/>
          <w:highlight w:val="none"/>
        </w:rPr>
        <w:t>18.2.5</w:t>
      </w:r>
      <w:r>
        <w:rPr>
          <w:rFonts w:hint="eastAsia" w:ascii="宋体" w:hAnsi="宋体" w:cs="宋体"/>
          <w:color w:val="auto"/>
          <w:sz w:val="24"/>
          <w:szCs w:val="24"/>
          <w:highlight w:val="none"/>
        </w:rPr>
        <w:t>开标时，电子招标投标交易平台自动提取所有投标文件，按时在线解密。解密全部完成后，向所有投标供应商公布投标供应商名称、投标价格和招标文件规定的其他内容。</w:t>
      </w:r>
    </w:p>
    <w:p w14:paraId="70313E08">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color w:val="auto"/>
          <w:sz w:val="24"/>
          <w:szCs w:val="24"/>
          <w:highlight w:val="none"/>
        </w:rPr>
        <w:t>18</w:t>
      </w:r>
      <w:r>
        <w:rPr>
          <w:rFonts w:ascii="宋体" w:hAnsi="宋体" w:cs="_5b8b_4f53"/>
          <w:b/>
          <w:color w:val="auto"/>
          <w:sz w:val="24"/>
          <w:szCs w:val="24"/>
          <w:highlight w:val="none"/>
        </w:rPr>
        <w:t>.</w:t>
      </w:r>
      <w:r>
        <w:rPr>
          <w:rFonts w:hint="eastAsia" w:ascii="宋体" w:hAnsi="宋体" w:cs="_5b8b_4f53"/>
          <w:b/>
          <w:color w:val="auto"/>
          <w:sz w:val="24"/>
          <w:szCs w:val="24"/>
          <w:highlight w:val="none"/>
        </w:rPr>
        <w:t>3</w:t>
      </w:r>
      <w:r>
        <w:rPr>
          <w:rFonts w:hint="eastAsia" w:ascii="宋体" w:hAnsi="宋体" w:cs="宋体"/>
          <w:color w:val="auto"/>
          <w:sz w:val="24"/>
          <w:szCs w:val="24"/>
          <w:highlight w:val="none"/>
        </w:rPr>
        <w:t>投标文件的有效性</w:t>
      </w:r>
    </w:p>
    <w:p w14:paraId="33DBC2C2">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color w:val="auto"/>
          <w:sz w:val="24"/>
          <w:szCs w:val="24"/>
          <w:highlight w:val="none"/>
        </w:rPr>
        <w:t>18.3</w:t>
      </w:r>
      <w:r>
        <w:rPr>
          <w:rFonts w:ascii="宋体" w:hAnsi="宋体" w:cs="_5b8b_4f53"/>
          <w:b/>
          <w:color w:val="auto"/>
          <w:sz w:val="24"/>
          <w:szCs w:val="24"/>
          <w:highlight w:val="none"/>
        </w:rPr>
        <w:t>.1</w:t>
      </w:r>
      <w:r>
        <w:rPr>
          <w:rFonts w:hint="eastAsia" w:ascii="宋体" w:hAnsi="宋体" w:cs="宋体"/>
          <w:color w:val="auto"/>
          <w:sz w:val="24"/>
          <w:szCs w:val="24"/>
          <w:highlight w:val="none"/>
        </w:rPr>
        <w:t>投标文件有下列情形之一的为无效电子化投标文件，采购人不予受理：</w:t>
      </w:r>
      <w:r>
        <w:rPr>
          <w:rFonts w:hint="eastAsia" w:ascii="宋体" w:hAnsi="宋体" w:cs="_5b8b_4f53"/>
          <w:color w:val="auto"/>
          <w:sz w:val="24"/>
          <w:szCs w:val="24"/>
          <w:highlight w:val="none"/>
        </w:rPr>
        <w:t>因投标供应商原因造成投标文件未解密的，视为撤销其投标文件；因投标供应商之外的原因造成投标文件未解密的，视为撤回其投标文件，投标供应商有权要求责任方赔偿因此遭受的直接损失。部分投标文件未解密的，其他投标文件的开标可以继续进行。</w:t>
      </w:r>
    </w:p>
    <w:p w14:paraId="34A33943">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color w:val="auto"/>
          <w:sz w:val="24"/>
          <w:szCs w:val="24"/>
          <w:highlight w:val="none"/>
        </w:rPr>
        <w:t>18</w:t>
      </w:r>
      <w:r>
        <w:rPr>
          <w:rFonts w:ascii="宋体" w:hAnsi="宋体" w:cs="_5b8b_4f53"/>
          <w:b/>
          <w:color w:val="auto"/>
          <w:sz w:val="24"/>
          <w:szCs w:val="24"/>
          <w:highlight w:val="none"/>
        </w:rPr>
        <w:t>.</w:t>
      </w:r>
      <w:r>
        <w:rPr>
          <w:rFonts w:hint="eastAsia" w:ascii="宋体" w:hAnsi="宋体" w:cs="_5b8b_4f53"/>
          <w:b/>
          <w:color w:val="auto"/>
          <w:sz w:val="24"/>
          <w:szCs w:val="24"/>
          <w:highlight w:val="none"/>
        </w:rPr>
        <w:t>3.</w:t>
      </w:r>
      <w:r>
        <w:rPr>
          <w:rFonts w:ascii="宋体" w:hAnsi="宋体" w:cs="_5b8b_4f53"/>
          <w:b/>
          <w:color w:val="auto"/>
          <w:sz w:val="24"/>
          <w:szCs w:val="24"/>
          <w:highlight w:val="none"/>
        </w:rPr>
        <w:t>2</w:t>
      </w:r>
      <w:r>
        <w:rPr>
          <w:rFonts w:hint="eastAsia" w:ascii="宋体" w:hAnsi="宋体" w:cs="_5b8b_4f53"/>
          <w:color w:val="auto"/>
          <w:sz w:val="24"/>
          <w:szCs w:val="24"/>
          <w:highlight w:val="none"/>
        </w:rPr>
        <w:t>若投标文件解</w:t>
      </w:r>
      <w:r>
        <w:rPr>
          <w:rFonts w:hint="eastAsia" w:ascii="宋体" w:hAnsi="宋体" w:cs="宋体"/>
          <w:color w:val="auto"/>
          <w:sz w:val="24"/>
          <w:szCs w:val="24"/>
          <w:highlight w:val="none"/>
        </w:rPr>
        <w:t>密后，有效电子投标文件不足三家的，本项目应予废标。</w:t>
      </w:r>
    </w:p>
    <w:p w14:paraId="5522A846">
      <w:pPr>
        <w:shd w:val="clear" w:color="auto" w:fill="FFFFFF"/>
        <w:snapToGrid w:val="0"/>
        <w:spacing w:line="360" w:lineRule="auto"/>
        <w:ind w:right="105" w:rightChars="50" w:firstLine="3975" w:firstLineChars="1100"/>
        <w:outlineLvl w:val="0"/>
        <w:rPr>
          <w:rFonts w:hint="eastAsia" w:ascii="宋体" w:hAnsi="宋体" w:eastAsia="宋体" w:cs="宋体"/>
          <w:b/>
          <w:bCs/>
          <w:color w:val="auto"/>
          <w:sz w:val="36"/>
          <w:szCs w:val="36"/>
          <w:highlight w:val="none"/>
        </w:rPr>
      </w:pPr>
      <w:bookmarkStart w:id="71" w:name="_Toc5649"/>
      <w:bookmarkStart w:id="72" w:name="_Toc5471"/>
      <w:r>
        <w:rPr>
          <w:rFonts w:hint="eastAsia" w:ascii="宋体" w:hAnsi="宋体" w:eastAsia="宋体" w:cs="宋体"/>
          <w:b/>
          <w:bCs/>
          <w:color w:val="auto"/>
          <w:sz w:val="36"/>
          <w:szCs w:val="36"/>
          <w:highlight w:val="none"/>
        </w:rPr>
        <w:t>六、评标与定标</w:t>
      </w:r>
      <w:bookmarkEnd w:id="71"/>
      <w:bookmarkEnd w:id="72"/>
    </w:p>
    <w:p w14:paraId="2AD81C15">
      <w:pPr>
        <w:shd w:val="clear" w:color="auto" w:fill="FFFFFF"/>
        <w:snapToGrid w:val="0"/>
        <w:spacing w:line="360" w:lineRule="auto"/>
        <w:ind w:right="105" w:rightChars="50" w:firstLine="482" w:firstLineChars="200"/>
        <w:outlineLvl w:val="1"/>
        <w:rPr>
          <w:rFonts w:ascii="宋体" w:hAnsi="宋体" w:cs="_5b8b_4f53"/>
          <w:color w:val="auto"/>
          <w:sz w:val="24"/>
          <w:szCs w:val="24"/>
          <w:highlight w:val="none"/>
        </w:rPr>
      </w:pPr>
      <w:bookmarkStart w:id="73" w:name="_Toc12956"/>
      <w:bookmarkStart w:id="74" w:name="_Toc28665"/>
      <w:r>
        <w:rPr>
          <w:rFonts w:hint="eastAsia" w:ascii="宋体" w:hAnsi="宋体" w:cs="_5b8b_4f53"/>
          <w:b/>
          <w:bCs/>
          <w:color w:val="auto"/>
          <w:sz w:val="24"/>
          <w:szCs w:val="24"/>
          <w:highlight w:val="none"/>
        </w:rPr>
        <w:t>19、</w:t>
      </w:r>
      <w:r>
        <w:rPr>
          <w:rFonts w:hint="eastAsia" w:ascii="宋体" w:hAnsi="宋体" w:cs="宋体"/>
          <w:b/>
          <w:bCs/>
          <w:color w:val="auto"/>
          <w:sz w:val="24"/>
          <w:szCs w:val="24"/>
          <w:highlight w:val="none"/>
        </w:rPr>
        <w:t>评标委员会</w:t>
      </w:r>
      <w:bookmarkEnd w:id="73"/>
      <w:bookmarkEnd w:id="74"/>
    </w:p>
    <w:p w14:paraId="12AB35A9">
      <w:pPr>
        <w:shd w:val="clear" w:color="auto" w:fill="FFFFFF"/>
        <w:snapToGrid w:val="0"/>
        <w:spacing w:line="360" w:lineRule="auto"/>
        <w:ind w:right="105" w:rightChars="50" w:firstLine="482" w:firstLineChars="200"/>
        <w:rPr>
          <w:rFonts w:hint="eastAsia" w:ascii="宋体" w:hAnsi="宋体" w:cs="_5b8b_4f53"/>
          <w:color w:val="auto"/>
          <w:sz w:val="24"/>
          <w:szCs w:val="24"/>
          <w:highlight w:val="none"/>
        </w:rPr>
      </w:pPr>
      <w:r>
        <w:rPr>
          <w:rFonts w:hint="eastAsia" w:ascii="宋体" w:hAnsi="宋体" w:cs="_5b8b_4f53"/>
          <w:b/>
          <w:bCs/>
          <w:color w:val="auto"/>
          <w:sz w:val="24"/>
          <w:szCs w:val="24"/>
          <w:highlight w:val="none"/>
        </w:rPr>
        <w:t>19</w:t>
      </w:r>
      <w:r>
        <w:rPr>
          <w:rFonts w:ascii="宋体" w:hAnsi="宋体" w:cs="_5b8b_4f53"/>
          <w:b/>
          <w:bCs/>
          <w:color w:val="auto"/>
          <w:sz w:val="24"/>
          <w:szCs w:val="24"/>
          <w:highlight w:val="none"/>
        </w:rPr>
        <w:t>.1</w:t>
      </w:r>
      <w:r>
        <w:rPr>
          <w:rFonts w:hint="eastAsia" w:ascii="宋体" w:hAnsi="宋体" w:cs="_5b8b_4f53"/>
          <w:color w:val="auto"/>
          <w:sz w:val="24"/>
          <w:szCs w:val="24"/>
          <w:highlight w:val="none"/>
        </w:rPr>
        <w:t>评标委员会由采购人依法组建，负责评标活动。</w:t>
      </w:r>
    </w:p>
    <w:p w14:paraId="4A553793">
      <w:pPr>
        <w:shd w:val="clear" w:color="auto" w:fill="FFFFFF"/>
        <w:snapToGrid w:val="0"/>
        <w:spacing w:line="360" w:lineRule="auto"/>
        <w:ind w:right="105" w:rightChars="50" w:firstLine="482" w:firstLineChars="200"/>
        <w:rPr>
          <w:rFonts w:hint="eastAsia" w:ascii="宋体" w:hAnsi="宋体" w:cs="宋体"/>
          <w:color w:val="auto"/>
          <w:sz w:val="24"/>
          <w:szCs w:val="24"/>
          <w:highlight w:val="none"/>
        </w:rPr>
      </w:pPr>
      <w:r>
        <w:rPr>
          <w:rFonts w:hint="eastAsia" w:ascii="宋体" w:hAnsi="宋体" w:cs="_5b8b_4f53"/>
          <w:b/>
          <w:bCs/>
          <w:color w:val="auto"/>
          <w:sz w:val="24"/>
          <w:szCs w:val="24"/>
          <w:highlight w:val="none"/>
        </w:rPr>
        <w:t>19</w:t>
      </w:r>
      <w:r>
        <w:rPr>
          <w:rFonts w:ascii="宋体" w:hAnsi="宋体" w:cs="_5b8b_4f53"/>
          <w:b/>
          <w:bCs/>
          <w:color w:val="auto"/>
          <w:sz w:val="24"/>
          <w:szCs w:val="24"/>
          <w:highlight w:val="none"/>
        </w:rPr>
        <w:t>.2</w:t>
      </w:r>
      <w:r>
        <w:rPr>
          <w:rFonts w:hint="eastAsia" w:ascii="宋体" w:hAnsi="宋体" w:cs="宋体"/>
          <w:color w:val="auto"/>
          <w:sz w:val="24"/>
          <w:szCs w:val="24"/>
          <w:highlight w:val="none"/>
        </w:rPr>
        <w:t>评标委员会构成：5人，</w:t>
      </w:r>
      <w:r>
        <w:rPr>
          <w:rFonts w:hint="eastAsia" w:ascii="宋体" w:hAnsi="宋体" w:cs="宋体"/>
          <w:color w:val="auto"/>
          <w:sz w:val="24"/>
          <w:szCs w:val="24"/>
          <w:highlight w:val="none"/>
          <w:lang w:val="en-US" w:eastAsia="zh-CN"/>
        </w:rPr>
        <w:t>采购人</w:t>
      </w:r>
      <w:r>
        <w:rPr>
          <w:rFonts w:hint="eastAsia" w:ascii="宋体" w:hAnsi="宋体" w:cs="宋体"/>
          <w:color w:val="auto"/>
          <w:sz w:val="24"/>
          <w:szCs w:val="24"/>
          <w:highlight w:val="none"/>
        </w:rPr>
        <w:t>代表1人，评审专家4人；评标专家确定方式：通过相关专家库随机抽取。</w:t>
      </w:r>
    </w:p>
    <w:p w14:paraId="521CE23E">
      <w:pPr>
        <w:shd w:val="clear" w:color="auto" w:fill="FFFFFF"/>
        <w:snapToGrid w:val="0"/>
        <w:spacing w:line="360" w:lineRule="auto"/>
        <w:ind w:right="105" w:rightChars="50" w:firstLine="480" w:firstLineChars="200"/>
        <w:rPr>
          <w:rFonts w:ascii="宋体" w:hAnsi="宋体" w:cs="_5b8b_4f53"/>
          <w:color w:val="auto"/>
          <w:sz w:val="24"/>
          <w:szCs w:val="24"/>
          <w:highlight w:val="none"/>
        </w:rPr>
      </w:pPr>
      <w:r>
        <w:rPr>
          <w:rFonts w:hint="eastAsia" w:ascii="宋体" w:hAnsi="宋体" w:eastAsia="宋体" w:cs="_5b8b_4f53"/>
          <w:color w:val="auto"/>
          <w:sz w:val="24"/>
          <w:szCs w:val="24"/>
          <w:highlight w:val="none"/>
        </w:rPr>
        <w:t>19.3参加评标的专家通过相关专家库随机抽取随机选定。与投</w:t>
      </w:r>
      <w:r>
        <w:rPr>
          <w:rFonts w:hint="eastAsia" w:ascii="宋体" w:hAnsi="宋体" w:cs="_5b8b_4f53"/>
          <w:color w:val="auto"/>
          <w:sz w:val="24"/>
          <w:szCs w:val="24"/>
          <w:highlight w:val="none"/>
        </w:rPr>
        <w:t>标供应商有利害关系的人不得进入评标委员会。</w:t>
      </w:r>
    </w:p>
    <w:p w14:paraId="6D439966">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bCs/>
          <w:color w:val="auto"/>
          <w:sz w:val="24"/>
          <w:szCs w:val="24"/>
          <w:highlight w:val="none"/>
        </w:rPr>
        <w:t>19</w:t>
      </w:r>
      <w:r>
        <w:rPr>
          <w:rFonts w:ascii="宋体" w:hAnsi="宋体" w:cs="_5b8b_4f53"/>
          <w:b/>
          <w:bCs/>
          <w:color w:val="auto"/>
          <w:sz w:val="24"/>
          <w:szCs w:val="24"/>
          <w:highlight w:val="none"/>
        </w:rPr>
        <w:t>.4</w:t>
      </w:r>
      <w:r>
        <w:rPr>
          <w:rFonts w:hint="eastAsia" w:ascii="宋体" w:hAnsi="宋体" w:cs="_5b8b_4f53"/>
          <w:color w:val="auto"/>
          <w:sz w:val="24"/>
          <w:szCs w:val="24"/>
          <w:highlight w:val="none"/>
        </w:rPr>
        <w:t>开标结束后，开始评标。评标工作在相关部门监督下，采用保密方式进行。</w:t>
      </w:r>
    </w:p>
    <w:p w14:paraId="0359EAA8">
      <w:pPr>
        <w:shd w:val="clear" w:color="auto" w:fill="FFFFFF"/>
        <w:snapToGrid w:val="0"/>
        <w:spacing w:line="360" w:lineRule="auto"/>
        <w:ind w:right="105" w:rightChars="50" w:firstLine="482" w:firstLineChars="200"/>
        <w:outlineLvl w:val="1"/>
        <w:rPr>
          <w:rFonts w:ascii="宋体" w:hAnsi="宋体" w:cs="_5b8b_4f53"/>
          <w:color w:val="auto"/>
          <w:sz w:val="24"/>
          <w:szCs w:val="24"/>
          <w:highlight w:val="none"/>
        </w:rPr>
      </w:pPr>
      <w:bookmarkStart w:id="75" w:name="_Toc26491"/>
      <w:bookmarkStart w:id="76" w:name="_Toc28723"/>
      <w:r>
        <w:rPr>
          <w:rFonts w:hint="eastAsia" w:ascii="宋体" w:hAnsi="宋体" w:cs="_5b8b_4f53"/>
          <w:b/>
          <w:bCs/>
          <w:color w:val="auto"/>
          <w:sz w:val="24"/>
          <w:szCs w:val="24"/>
          <w:highlight w:val="none"/>
        </w:rPr>
        <w:t>20、</w:t>
      </w:r>
      <w:r>
        <w:rPr>
          <w:rFonts w:hint="eastAsia" w:ascii="宋体" w:hAnsi="宋体" w:cs="宋体"/>
          <w:b/>
          <w:bCs/>
          <w:color w:val="auto"/>
          <w:sz w:val="24"/>
          <w:szCs w:val="24"/>
          <w:highlight w:val="none"/>
        </w:rPr>
        <w:t>评标过程的保密</w:t>
      </w:r>
      <w:bookmarkEnd w:id="75"/>
      <w:bookmarkEnd w:id="76"/>
    </w:p>
    <w:p w14:paraId="6FF05FFA">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bCs/>
          <w:color w:val="auto"/>
          <w:sz w:val="24"/>
          <w:szCs w:val="24"/>
          <w:highlight w:val="none"/>
        </w:rPr>
        <w:t>20</w:t>
      </w:r>
      <w:r>
        <w:rPr>
          <w:rFonts w:ascii="宋体" w:hAnsi="宋体" w:cs="_5b8b_4f53"/>
          <w:b/>
          <w:bCs/>
          <w:color w:val="auto"/>
          <w:sz w:val="24"/>
          <w:szCs w:val="24"/>
          <w:highlight w:val="none"/>
        </w:rPr>
        <w:t>.1</w:t>
      </w:r>
      <w:r>
        <w:rPr>
          <w:rFonts w:hint="eastAsia" w:ascii="宋体" w:hAnsi="宋体" w:cs="_5b8b_4f53"/>
          <w:color w:val="auto"/>
          <w:sz w:val="24"/>
          <w:szCs w:val="24"/>
          <w:highlight w:val="none"/>
        </w:rPr>
        <w:t>开标后，直至授予中标供应商合同为止，凡属于对电子化投标文件的审查、澄清、评价和比较有关的资料，中标候选人的推荐情况，及其他任何与评标有关的情况均应严格保密。</w:t>
      </w:r>
    </w:p>
    <w:p w14:paraId="53084FA7">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bCs/>
          <w:color w:val="auto"/>
          <w:sz w:val="24"/>
          <w:szCs w:val="24"/>
          <w:highlight w:val="none"/>
        </w:rPr>
        <w:t>20</w:t>
      </w:r>
      <w:r>
        <w:rPr>
          <w:rFonts w:ascii="宋体" w:hAnsi="宋体" w:cs="_5b8b_4f53"/>
          <w:b/>
          <w:bCs/>
          <w:color w:val="auto"/>
          <w:sz w:val="24"/>
          <w:szCs w:val="24"/>
          <w:highlight w:val="none"/>
        </w:rPr>
        <w:t>.2</w:t>
      </w:r>
      <w:r>
        <w:rPr>
          <w:rFonts w:hint="eastAsia" w:ascii="宋体" w:hAnsi="宋体" w:cs="_5b8b_4f53"/>
          <w:color w:val="auto"/>
          <w:sz w:val="24"/>
          <w:szCs w:val="24"/>
          <w:highlight w:val="none"/>
        </w:rPr>
        <w:t>在电子化投标文件的评审和比较、中标候选人推荐以及授予合同的过程中，投标供应商向采购人和评标委员会施加影响的任何行为，都将会导致其投标被拒绝。</w:t>
      </w:r>
    </w:p>
    <w:p w14:paraId="4A5A7990">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bCs/>
          <w:color w:val="auto"/>
          <w:sz w:val="24"/>
          <w:szCs w:val="24"/>
          <w:highlight w:val="none"/>
        </w:rPr>
        <w:t>20</w:t>
      </w:r>
      <w:r>
        <w:rPr>
          <w:rFonts w:ascii="宋体" w:hAnsi="宋体" w:cs="_5b8b_4f53"/>
          <w:b/>
          <w:bCs/>
          <w:color w:val="auto"/>
          <w:sz w:val="24"/>
          <w:szCs w:val="24"/>
          <w:highlight w:val="none"/>
        </w:rPr>
        <w:t>.3</w:t>
      </w:r>
      <w:r>
        <w:rPr>
          <w:rFonts w:hint="eastAsia" w:ascii="宋体" w:hAnsi="宋体" w:cs="_5b8b_4f53"/>
          <w:color w:val="auto"/>
          <w:sz w:val="24"/>
          <w:szCs w:val="24"/>
          <w:highlight w:val="none"/>
        </w:rPr>
        <w:t>中标供应商确定后，采购人不对未中标供应商就评标过程以及未能中标原因作出任何解释。未中标供应商不得向评标委员会组成人员或其他有关人员索问评标过程的情况和材料。</w:t>
      </w:r>
    </w:p>
    <w:p w14:paraId="1CEF2D2B">
      <w:pPr>
        <w:shd w:val="clear" w:color="auto" w:fill="FFFFFF"/>
        <w:snapToGrid w:val="0"/>
        <w:spacing w:line="360" w:lineRule="auto"/>
        <w:ind w:right="105" w:rightChars="50" w:firstLine="482" w:firstLineChars="200"/>
        <w:outlineLvl w:val="1"/>
        <w:rPr>
          <w:rFonts w:ascii="宋体" w:hAnsi="宋体" w:cs="_5b8b_4f53"/>
          <w:color w:val="auto"/>
          <w:sz w:val="24"/>
          <w:szCs w:val="24"/>
          <w:highlight w:val="none"/>
        </w:rPr>
      </w:pPr>
      <w:bookmarkStart w:id="77" w:name="_Toc12985"/>
      <w:bookmarkStart w:id="78" w:name="_Toc2615"/>
      <w:r>
        <w:rPr>
          <w:rFonts w:hint="eastAsia" w:ascii="宋体" w:hAnsi="宋体" w:cs="_5b8b_4f53"/>
          <w:b/>
          <w:bCs/>
          <w:color w:val="auto"/>
          <w:sz w:val="24"/>
          <w:szCs w:val="24"/>
          <w:highlight w:val="none"/>
        </w:rPr>
        <w:t>21、</w:t>
      </w:r>
      <w:r>
        <w:rPr>
          <w:rFonts w:hint="eastAsia" w:ascii="宋体" w:hAnsi="宋体" w:cs="宋体"/>
          <w:b/>
          <w:bCs/>
          <w:color w:val="auto"/>
          <w:sz w:val="24"/>
          <w:szCs w:val="24"/>
          <w:highlight w:val="none"/>
        </w:rPr>
        <w:t>评标纪律</w:t>
      </w:r>
      <w:bookmarkEnd w:id="77"/>
      <w:bookmarkEnd w:id="78"/>
    </w:p>
    <w:p w14:paraId="31B30CE8">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bCs/>
          <w:color w:val="auto"/>
          <w:sz w:val="24"/>
          <w:szCs w:val="24"/>
          <w:highlight w:val="none"/>
        </w:rPr>
        <w:t>21</w:t>
      </w:r>
      <w:r>
        <w:rPr>
          <w:rFonts w:ascii="宋体" w:hAnsi="宋体" w:cs="_5b8b_4f53"/>
          <w:b/>
          <w:bCs/>
          <w:color w:val="auto"/>
          <w:sz w:val="24"/>
          <w:szCs w:val="24"/>
          <w:highlight w:val="none"/>
        </w:rPr>
        <w:t>.1</w:t>
      </w:r>
      <w:r>
        <w:rPr>
          <w:rFonts w:hint="eastAsia" w:ascii="宋体" w:hAnsi="宋体" w:cs="_5b8b_4f53"/>
          <w:color w:val="auto"/>
          <w:sz w:val="24"/>
          <w:szCs w:val="24"/>
          <w:highlight w:val="none"/>
        </w:rPr>
        <w:t xml:space="preserve"> </w:t>
      </w:r>
      <w:r>
        <w:rPr>
          <w:rFonts w:hint="eastAsia" w:ascii="宋体" w:hAnsi="宋体" w:cs="宋体"/>
          <w:color w:val="auto"/>
          <w:sz w:val="24"/>
          <w:szCs w:val="24"/>
          <w:highlight w:val="none"/>
        </w:rPr>
        <w:t>评标委员会成员和参与评标工作的有关人员不得透露对电子化投标文件的评审和比较、中标候选人的推荐情况以及与评标有关的其它情况。</w:t>
      </w:r>
    </w:p>
    <w:p w14:paraId="4DB35950">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ascii="宋体" w:hAnsi="宋体" w:cs="_5b8b_4f53"/>
          <w:b/>
          <w:bCs/>
          <w:color w:val="auto"/>
          <w:sz w:val="24"/>
          <w:szCs w:val="24"/>
          <w:highlight w:val="none"/>
        </w:rPr>
        <w:t>2</w:t>
      </w:r>
      <w:r>
        <w:rPr>
          <w:rFonts w:hint="eastAsia" w:ascii="宋体" w:hAnsi="宋体" w:cs="_5b8b_4f53"/>
          <w:b/>
          <w:bCs/>
          <w:color w:val="auto"/>
          <w:sz w:val="24"/>
          <w:szCs w:val="24"/>
          <w:highlight w:val="none"/>
        </w:rPr>
        <w:t>1</w:t>
      </w:r>
      <w:r>
        <w:rPr>
          <w:rFonts w:ascii="宋体" w:hAnsi="宋体" w:cs="_5b8b_4f53"/>
          <w:b/>
          <w:bCs/>
          <w:color w:val="auto"/>
          <w:sz w:val="24"/>
          <w:szCs w:val="24"/>
          <w:highlight w:val="none"/>
        </w:rPr>
        <w:t>.2</w:t>
      </w:r>
      <w:r>
        <w:rPr>
          <w:rFonts w:hint="eastAsia" w:ascii="宋体" w:hAnsi="宋体" w:cs="_5b8b_4f53"/>
          <w:color w:val="auto"/>
          <w:sz w:val="24"/>
          <w:szCs w:val="24"/>
          <w:highlight w:val="none"/>
        </w:rPr>
        <w:t xml:space="preserve"> </w:t>
      </w:r>
      <w:r>
        <w:rPr>
          <w:rFonts w:hint="eastAsia" w:ascii="宋体" w:hAnsi="宋体" w:cs="宋体"/>
          <w:color w:val="auto"/>
          <w:sz w:val="24"/>
          <w:szCs w:val="24"/>
          <w:highlight w:val="none"/>
        </w:rPr>
        <w:t>除投标须知第</w:t>
      </w:r>
      <w:r>
        <w:rPr>
          <w:rFonts w:ascii="宋体" w:hAnsi="宋体" w:cs="_5b8b_4f53"/>
          <w:color w:val="auto"/>
          <w:sz w:val="24"/>
          <w:szCs w:val="24"/>
          <w:highlight w:val="none"/>
        </w:rPr>
        <w:t>28</w:t>
      </w:r>
      <w:r>
        <w:rPr>
          <w:rFonts w:hint="eastAsia" w:ascii="宋体" w:hAnsi="宋体" w:cs="宋体"/>
          <w:color w:val="auto"/>
          <w:sz w:val="24"/>
          <w:szCs w:val="24"/>
          <w:highlight w:val="none"/>
        </w:rPr>
        <w:t>条款的规定以外，开标以后至授予中标通知书前，任何投标供应商均不得就与其投标文件有关的问题主动与采购人和招标代理机构发生联系。</w:t>
      </w:r>
    </w:p>
    <w:p w14:paraId="0C98BA87">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ascii="宋体" w:hAnsi="宋体" w:cs="_5b8b_4f53"/>
          <w:b/>
          <w:bCs/>
          <w:color w:val="auto"/>
          <w:sz w:val="24"/>
          <w:szCs w:val="24"/>
          <w:highlight w:val="none"/>
        </w:rPr>
        <w:t>2</w:t>
      </w:r>
      <w:r>
        <w:rPr>
          <w:rFonts w:hint="eastAsia" w:ascii="宋体" w:hAnsi="宋体" w:cs="_5b8b_4f53"/>
          <w:b/>
          <w:bCs/>
          <w:color w:val="auto"/>
          <w:sz w:val="24"/>
          <w:szCs w:val="24"/>
          <w:highlight w:val="none"/>
        </w:rPr>
        <w:t>1</w:t>
      </w:r>
      <w:r>
        <w:rPr>
          <w:rFonts w:ascii="宋体" w:hAnsi="宋体" w:cs="_5b8b_4f53"/>
          <w:b/>
          <w:bCs/>
          <w:color w:val="auto"/>
          <w:sz w:val="24"/>
          <w:szCs w:val="24"/>
          <w:highlight w:val="none"/>
        </w:rPr>
        <w:t>.3</w:t>
      </w:r>
      <w:r>
        <w:rPr>
          <w:rFonts w:hint="eastAsia" w:ascii="宋体" w:hAnsi="宋体" w:cs="_5b8b_4f53"/>
          <w:color w:val="auto"/>
          <w:sz w:val="24"/>
          <w:szCs w:val="24"/>
          <w:highlight w:val="none"/>
        </w:rPr>
        <w:t xml:space="preserve"> </w:t>
      </w:r>
      <w:r>
        <w:rPr>
          <w:rFonts w:hint="eastAsia" w:ascii="宋体" w:hAnsi="宋体" w:cs="宋体"/>
          <w:color w:val="auto"/>
          <w:sz w:val="24"/>
          <w:szCs w:val="24"/>
          <w:highlight w:val="none"/>
        </w:rPr>
        <w:t>如果投标供应商试图对评标委员会的评标施加影响，则将导致该投标供应商的投标文件被拒绝。</w:t>
      </w:r>
    </w:p>
    <w:p w14:paraId="5BEF7887">
      <w:pPr>
        <w:shd w:val="clear" w:color="auto" w:fill="FFFFFF"/>
        <w:snapToGrid w:val="0"/>
        <w:spacing w:line="360" w:lineRule="auto"/>
        <w:ind w:right="105" w:rightChars="50" w:firstLine="482" w:firstLineChars="200"/>
        <w:outlineLvl w:val="1"/>
        <w:rPr>
          <w:rFonts w:ascii="宋体" w:hAnsi="宋体" w:cs="_5b8b_4f53"/>
          <w:color w:val="auto"/>
          <w:sz w:val="24"/>
          <w:szCs w:val="24"/>
          <w:highlight w:val="none"/>
        </w:rPr>
      </w:pPr>
      <w:bookmarkStart w:id="79" w:name="_Toc24198"/>
      <w:bookmarkStart w:id="80" w:name="_Toc9374"/>
      <w:r>
        <w:rPr>
          <w:rFonts w:hint="eastAsia" w:ascii="宋体" w:hAnsi="宋体" w:cs="_5b8b_4f53"/>
          <w:b/>
          <w:bCs/>
          <w:color w:val="auto"/>
          <w:sz w:val="24"/>
          <w:szCs w:val="24"/>
          <w:highlight w:val="none"/>
        </w:rPr>
        <w:t>22</w:t>
      </w:r>
      <w:r>
        <w:rPr>
          <w:rFonts w:hint="eastAsia" w:ascii="宋体" w:hAnsi="宋体" w:cs="宋体"/>
          <w:b/>
          <w:bCs/>
          <w:color w:val="auto"/>
          <w:sz w:val="24"/>
          <w:szCs w:val="24"/>
          <w:highlight w:val="none"/>
        </w:rPr>
        <w:t>、投标文件的澄清</w:t>
      </w:r>
      <w:bookmarkEnd w:id="79"/>
      <w:bookmarkEnd w:id="80"/>
    </w:p>
    <w:p w14:paraId="52008DAB">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ascii="宋体" w:hAnsi="宋体" w:cs="_5b8b_4f53"/>
          <w:b/>
          <w:color w:val="auto"/>
          <w:sz w:val="24"/>
          <w:szCs w:val="24"/>
          <w:highlight w:val="none"/>
        </w:rPr>
        <w:t>2</w:t>
      </w:r>
      <w:r>
        <w:rPr>
          <w:rFonts w:hint="eastAsia" w:ascii="宋体" w:hAnsi="宋体" w:cs="_5b8b_4f53"/>
          <w:b/>
          <w:color w:val="auto"/>
          <w:sz w:val="24"/>
          <w:szCs w:val="24"/>
          <w:highlight w:val="none"/>
        </w:rPr>
        <w:t>2</w:t>
      </w:r>
      <w:r>
        <w:rPr>
          <w:rFonts w:ascii="宋体" w:hAnsi="宋体" w:cs="_5b8b_4f53"/>
          <w:b/>
          <w:color w:val="auto"/>
          <w:sz w:val="24"/>
          <w:szCs w:val="24"/>
          <w:highlight w:val="none"/>
        </w:rPr>
        <w:t>.1</w:t>
      </w:r>
      <w:r>
        <w:rPr>
          <w:rFonts w:hint="eastAsia" w:ascii="宋体" w:hAnsi="宋体" w:cs="_5b8b_4f53"/>
          <w:color w:val="auto"/>
          <w:sz w:val="24"/>
          <w:szCs w:val="24"/>
          <w:highlight w:val="none"/>
        </w:rPr>
        <w:t>为有助于投标文件的审查、评价和比较，评标委员会可以要求投标供应商对投标文件含义不明确的内容作必要的澄清或说明，投标供应商应进行澄清或说明，但不得超出投标文件的范围或改变投标文件的实质性内容。根据本须知规定，凡属于评标委员会在评标中发现的计算错误并进行核实的修改不在此列。</w:t>
      </w:r>
    </w:p>
    <w:p w14:paraId="1226CEA3">
      <w:pPr>
        <w:shd w:val="clear" w:color="auto" w:fill="FFFFFF"/>
        <w:snapToGrid w:val="0"/>
        <w:spacing w:line="360" w:lineRule="auto"/>
        <w:ind w:right="105" w:rightChars="50" w:firstLine="482" w:firstLineChars="200"/>
        <w:outlineLvl w:val="1"/>
        <w:rPr>
          <w:rFonts w:ascii="宋体" w:hAnsi="宋体" w:cs="_5b8b_4f53"/>
          <w:color w:val="auto"/>
          <w:sz w:val="24"/>
          <w:szCs w:val="24"/>
          <w:highlight w:val="none"/>
        </w:rPr>
      </w:pPr>
      <w:bookmarkStart w:id="81" w:name="_Toc22850"/>
      <w:bookmarkStart w:id="82" w:name="_Toc27255"/>
      <w:r>
        <w:rPr>
          <w:rFonts w:ascii="宋体" w:hAnsi="宋体" w:cs="_5b8b_4f53"/>
          <w:b/>
          <w:bCs/>
          <w:color w:val="auto"/>
          <w:sz w:val="24"/>
          <w:szCs w:val="24"/>
          <w:highlight w:val="none"/>
        </w:rPr>
        <w:t>2</w:t>
      </w:r>
      <w:r>
        <w:rPr>
          <w:rFonts w:hint="eastAsia" w:ascii="宋体" w:hAnsi="宋体" w:cs="_5b8b_4f53"/>
          <w:b/>
          <w:bCs/>
          <w:color w:val="auto"/>
          <w:sz w:val="24"/>
          <w:szCs w:val="24"/>
          <w:highlight w:val="none"/>
        </w:rPr>
        <w:t>3、</w:t>
      </w:r>
      <w:r>
        <w:rPr>
          <w:rFonts w:hint="eastAsia" w:ascii="宋体" w:hAnsi="宋体" w:cs="宋体"/>
          <w:b/>
          <w:bCs/>
          <w:color w:val="auto"/>
          <w:sz w:val="24"/>
          <w:szCs w:val="24"/>
          <w:highlight w:val="none"/>
        </w:rPr>
        <w:t>投标文件的初步评审</w:t>
      </w:r>
      <w:bookmarkEnd w:id="81"/>
      <w:bookmarkEnd w:id="82"/>
    </w:p>
    <w:p w14:paraId="6B78345E">
      <w:pPr>
        <w:shd w:val="clear" w:color="auto" w:fill="FFFFFF"/>
        <w:snapToGrid w:val="0"/>
        <w:spacing w:line="360" w:lineRule="auto"/>
        <w:ind w:right="105" w:rightChars="50" w:firstLine="480" w:firstLineChars="200"/>
        <w:rPr>
          <w:rFonts w:hint="default" w:eastAsia="宋体"/>
          <w:color w:val="auto"/>
          <w:highlight w:val="none"/>
          <w:lang w:val="en-US" w:eastAsia="zh-CN"/>
        </w:rPr>
      </w:pPr>
      <w:r>
        <w:rPr>
          <w:rFonts w:hint="eastAsia" w:ascii="宋体" w:hAnsi="宋体" w:cs="_5b8b_4f53"/>
          <w:b w:val="0"/>
          <w:bCs w:val="0"/>
          <w:color w:val="auto"/>
          <w:sz w:val="24"/>
          <w:szCs w:val="24"/>
          <w:highlight w:val="none"/>
        </w:rPr>
        <w:t>23</w:t>
      </w:r>
      <w:r>
        <w:rPr>
          <w:rFonts w:ascii="宋体" w:hAnsi="宋体" w:cs="_5b8b_4f53"/>
          <w:b w:val="0"/>
          <w:bCs w:val="0"/>
          <w:color w:val="auto"/>
          <w:sz w:val="24"/>
          <w:szCs w:val="24"/>
          <w:highlight w:val="none"/>
        </w:rPr>
        <w:t>.1</w:t>
      </w:r>
      <w:r>
        <w:rPr>
          <w:rFonts w:hint="eastAsia" w:ascii="宋体" w:hAnsi="宋体" w:cs="宋体"/>
          <w:b w:val="0"/>
          <w:bCs w:val="0"/>
          <w:color w:val="auto"/>
          <w:sz w:val="24"/>
          <w:szCs w:val="24"/>
          <w:highlight w:val="none"/>
        </w:rPr>
        <w:t>投标文件资格审查：</w:t>
      </w:r>
      <w:r>
        <w:rPr>
          <w:rFonts w:hint="eastAsia" w:ascii="宋体" w:hAnsi="宋体" w:cs="宋体"/>
          <w:b w:val="0"/>
          <w:bCs w:val="0"/>
          <w:color w:val="auto"/>
          <w:sz w:val="24"/>
          <w:szCs w:val="24"/>
          <w:highlight w:val="none"/>
          <w:lang w:val="en-US" w:eastAsia="zh-CN"/>
        </w:rPr>
        <w:t>详见第二章供应商须知前附表规定</w:t>
      </w:r>
    </w:p>
    <w:p w14:paraId="07AD731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23.</w:t>
      </w:r>
      <w:r>
        <w:rPr>
          <w:rFonts w:ascii="宋体" w:hAnsi="宋体"/>
          <w:color w:val="auto"/>
          <w:sz w:val="24"/>
          <w:szCs w:val="24"/>
          <w:highlight w:val="none"/>
        </w:rPr>
        <w:t>2</w:t>
      </w:r>
      <w:r>
        <w:rPr>
          <w:rFonts w:hint="eastAsia" w:ascii="宋体" w:hAnsi="宋体"/>
          <w:color w:val="auto"/>
          <w:sz w:val="24"/>
          <w:szCs w:val="24"/>
          <w:highlight w:val="none"/>
        </w:rPr>
        <w:t>评标</w:t>
      </w:r>
      <w:r>
        <w:rPr>
          <w:rFonts w:hint="eastAsia" w:ascii="宋体" w:hAnsi="宋体" w:cs="_5b8b_4f53"/>
          <w:color w:val="auto"/>
          <w:sz w:val="24"/>
          <w:szCs w:val="24"/>
          <w:highlight w:val="none"/>
        </w:rPr>
        <w:t>时，评标委员会将首先评定每份投标文件是否在实质上响应了招标文件的要求。所谓实质上响应，是指投标文件应与招标文件的所有实质性条款、条件和要求相符，无显著差异或保留，或者对合同中约定的采购人的权利和投标供应商的义务方面没有造成重大的限制，纠正这些差异或保留将不会对其他实质上响应招标文件要求的投标供应商的竞争地位产生不公正的影响。</w:t>
      </w:r>
    </w:p>
    <w:p w14:paraId="7B03F63E">
      <w:pPr>
        <w:shd w:val="clear" w:color="auto" w:fill="FFFFFF"/>
        <w:snapToGrid w:val="0"/>
        <w:spacing w:line="360" w:lineRule="auto"/>
        <w:ind w:right="105" w:rightChars="50" w:firstLine="480" w:firstLineChars="200"/>
        <w:rPr>
          <w:rFonts w:ascii="宋体" w:hAnsi="宋体"/>
          <w:color w:val="auto"/>
          <w:sz w:val="24"/>
          <w:szCs w:val="24"/>
          <w:highlight w:val="none"/>
        </w:rPr>
      </w:pPr>
      <w:r>
        <w:rPr>
          <w:rFonts w:hint="eastAsia" w:ascii="宋体" w:hAnsi="宋体"/>
          <w:color w:val="auto"/>
          <w:sz w:val="24"/>
          <w:szCs w:val="24"/>
          <w:highlight w:val="none"/>
        </w:rPr>
        <w:t>23.</w:t>
      </w:r>
      <w:r>
        <w:rPr>
          <w:rFonts w:ascii="宋体" w:hAnsi="宋体"/>
          <w:color w:val="auto"/>
          <w:sz w:val="24"/>
          <w:szCs w:val="24"/>
          <w:highlight w:val="none"/>
        </w:rPr>
        <w:t>3</w:t>
      </w:r>
      <w:r>
        <w:rPr>
          <w:rFonts w:hint="eastAsia" w:ascii="宋体" w:hAnsi="宋体"/>
          <w:color w:val="auto"/>
          <w:sz w:val="24"/>
          <w:szCs w:val="24"/>
          <w:highlight w:val="none"/>
        </w:rPr>
        <w:t>如果投标文件实质上不响应招标文件的各项要求，评标委员会将予以拒绝，并且不允许投标供应商通过修改或撤销其不符合要求的差异或保留，使之成为具有响应性的投标。</w:t>
      </w:r>
    </w:p>
    <w:p w14:paraId="34933BE5">
      <w:pPr>
        <w:shd w:val="clear" w:color="auto" w:fill="FFFFFF"/>
        <w:snapToGrid w:val="0"/>
        <w:spacing w:line="360" w:lineRule="auto"/>
        <w:ind w:right="105" w:rightChars="50" w:firstLine="480" w:firstLineChars="200"/>
        <w:rPr>
          <w:rFonts w:ascii="宋体" w:hAnsi="宋体"/>
          <w:color w:val="auto"/>
          <w:sz w:val="24"/>
          <w:szCs w:val="24"/>
          <w:highlight w:val="none"/>
        </w:rPr>
      </w:pPr>
      <w:r>
        <w:rPr>
          <w:rFonts w:hint="eastAsia" w:ascii="宋体" w:hAnsi="宋体"/>
          <w:color w:val="auto"/>
          <w:sz w:val="24"/>
          <w:szCs w:val="24"/>
          <w:highlight w:val="none"/>
        </w:rPr>
        <w:t>23.</w:t>
      </w:r>
      <w:r>
        <w:rPr>
          <w:rFonts w:ascii="宋体" w:hAnsi="宋体"/>
          <w:color w:val="auto"/>
          <w:sz w:val="24"/>
          <w:szCs w:val="24"/>
          <w:highlight w:val="none"/>
        </w:rPr>
        <w:t>4</w:t>
      </w:r>
      <w:r>
        <w:rPr>
          <w:rFonts w:hint="eastAsia" w:ascii="宋体" w:hAnsi="宋体"/>
          <w:color w:val="auto"/>
          <w:sz w:val="24"/>
          <w:szCs w:val="24"/>
          <w:highlight w:val="none"/>
        </w:rPr>
        <w:t>投标文件有下列情形之一的，由评标委员会初审后按无效标处理：</w:t>
      </w:r>
    </w:p>
    <w:p w14:paraId="1C3F5EE8">
      <w:pPr>
        <w:spacing w:line="360" w:lineRule="auto"/>
        <w:ind w:right="105" w:rightChars="50" w:firstLine="480" w:firstLineChars="200"/>
        <w:rPr>
          <w:rFonts w:ascii="宋体" w:hAnsi="宋体" w:cs="_5b8b_4f53"/>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1</w:t>
      </w:r>
      <w:r>
        <w:rPr>
          <w:rFonts w:hint="eastAsia" w:ascii="宋体" w:hAnsi="宋体"/>
          <w:color w:val="auto"/>
          <w:sz w:val="24"/>
          <w:szCs w:val="24"/>
          <w:highlight w:val="none"/>
        </w:rPr>
        <w:t>）投标人在</w:t>
      </w:r>
      <w:r>
        <w:rPr>
          <w:rFonts w:hint="eastAsia" w:ascii="宋体" w:hAnsi="宋体" w:cs="_5b8b_4f53"/>
          <w:color w:val="auto"/>
          <w:sz w:val="24"/>
          <w:szCs w:val="24"/>
          <w:highlight w:val="none"/>
        </w:rPr>
        <w:t>生成电子化投标文件后，应对电子化投标文件进行签章，未进行签章的视为无效投标。</w:t>
      </w:r>
    </w:p>
    <w:p w14:paraId="319D9291">
      <w:pPr>
        <w:shd w:val="clear" w:color="auto" w:fill="FFFFFF"/>
        <w:snapToGrid w:val="0"/>
        <w:spacing w:line="360" w:lineRule="auto"/>
        <w:ind w:right="105" w:rightChars="50" w:firstLine="480" w:firstLineChars="200"/>
        <w:rPr>
          <w:rFonts w:ascii="宋体" w:hAnsi="宋体" w:cs="_5b8b_4f53"/>
          <w:color w:val="auto"/>
          <w:sz w:val="24"/>
          <w:szCs w:val="24"/>
          <w:highlight w:val="none"/>
        </w:rPr>
      </w:pPr>
      <w:r>
        <w:rPr>
          <w:rFonts w:hint="eastAsia" w:ascii="宋体" w:hAnsi="宋体" w:cs="_5b8b_4f53"/>
          <w:color w:val="auto"/>
          <w:sz w:val="24"/>
          <w:szCs w:val="24"/>
          <w:highlight w:val="none"/>
        </w:rPr>
        <w:t>（</w:t>
      </w:r>
      <w:r>
        <w:rPr>
          <w:rFonts w:ascii="宋体" w:hAnsi="宋体" w:cs="_5b8b_4f53"/>
          <w:color w:val="auto"/>
          <w:sz w:val="24"/>
          <w:szCs w:val="24"/>
          <w:highlight w:val="none"/>
        </w:rPr>
        <w:t>2</w:t>
      </w:r>
      <w:r>
        <w:rPr>
          <w:rFonts w:hint="eastAsia" w:ascii="宋体" w:hAnsi="宋体" w:cs="_5b8b_4f53"/>
          <w:color w:val="auto"/>
          <w:sz w:val="24"/>
          <w:szCs w:val="24"/>
          <w:highlight w:val="none"/>
        </w:rPr>
        <w:t>）投标供应商资格条件不符合国家有关规定和招标文件要求的；</w:t>
      </w:r>
    </w:p>
    <w:p w14:paraId="2C52A26D">
      <w:pPr>
        <w:shd w:val="clear" w:color="auto" w:fill="FFFFFF"/>
        <w:snapToGrid w:val="0"/>
        <w:spacing w:line="360" w:lineRule="auto"/>
        <w:ind w:right="105" w:rightChars="50" w:firstLine="480" w:firstLineChars="200"/>
        <w:rPr>
          <w:rFonts w:hint="eastAsia" w:ascii="宋体" w:hAnsi="宋体" w:cs="_5b8b_4f53"/>
          <w:color w:val="auto"/>
          <w:sz w:val="24"/>
          <w:szCs w:val="24"/>
          <w:highlight w:val="none"/>
        </w:rPr>
      </w:pPr>
      <w:r>
        <w:rPr>
          <w:rFonts w:hint="eastAsia" w:ascii="宋体" w:hAnsi="宋体" w:cs="_5b8b_4f53"/>
          <w:color w:val="auto"/>
          <w:sz w:val="24"/>
          <w:szCs w:val="24"/>
          <w:highlight w:val="none"/>
        </w:rPr>
        <w:t>（</w:t>
      </w:r>
      <w:r>
        <w:rPr>
          <w:rFonts w:ascii="宋体" w:hAnsi="宋体" w:cs="_5b8b_4f53"/>
          <w:color w:val="auto"/>
          <w:sz w:val="24"/>
          <w:szCs w:val="24"/>
          <w:highlight w:val="none"/>
        </w:rPr>
        <w:t>3</w:t>
      </w:r>
      <w:r>
        <w:rPr>
          <w:rFonts w:hint="eastAsia" w:ascii="宋体" w:hAnsi="宋体" w:cs="_5b8b_4f53"/>
          <w:color w:val="auto"/>
          <w:sz w:val="24"/>
          <w:szCs w:val="24"/>
          <w:highlight w:val="none"/>
        </w:rPr>
        <w:t>）</w:t>
      </w:r>
      <w:r>
        <w:rPr>
          <w:rFonts w:hint="eastAsia" w:ascii="宋体" w:hAnsi="宋体" w:cs="宋体"/>
          <w:color w:val="auto"/>
          <w:kern w:val="0"/>
          <w:sz w:val="24"/>
          <w:szCs w:val="24"/>
          <w:highlight w:val="none"/>
        </w:rPr>
        <w:t>电子化投标文件附有采购人不能接受的条件的；</w:t>
      </w:r>
    </w:p>
    <w:p w14:paraId="7157A8C4">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（4）投标报价超过招标文件规定的预算金额的；</w:t>
      </w:r>
    </w:p>
    <w:p w14:paraId="60CE427F">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（5）以他人的名义投标、串通投标、以行贿手段谋取中标或者以其他弄虚作假方式投标的；</w:t>
      </w:r>
    </w:p>
    <w:p w14:paraId="47B7D1BB">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（6）采取不正当手段谋取中标的。</w:t>
      </w:r>
    </w:p>
    <w:p w14:paraId="7F4BB15C">
      <w:pPr>
        <w:shd w:val="clear" w:color="auto" w:fill="FFFFFF"/>
        <w:snapToGrid w:val="0"/>
        <w:spacing w:line="360" w:lineRule="auto"/>
        <w:ind w:right="105" w:rightChars="50" w:firstLine="482" w:firstLineChars="200"/>
        <w:outlineLvl w:val="1"/>
        <w:rPr>
          <w:rFonts w:ascii="宋体" w:hAnsi="宋体" w:cs="_5b8b_4f53"/>
          <w:color w:val="auto"/>
          <w:sz w:val="24"/>
          <w:szCs w:val="24"/>
          <w:highlight w:val="none"/>
        </w:rPr>
      </w:pPr>
      <w:bookmarkStart w:id="83" w:name="_Toc7225"/>
      <w:bookmarkStart w:id="84" w:name="_Toc19665"/>
      <w:r>
        <w:rPr>
          <w:rFonts w:hint="eastAsia" w:ascii="宋体" w:hAnsi="宋体" w:cs="_5b8b_4f53"/>
          <w:b/>
          <w:bCs/>
          <w:color w:val="auto"/>
          <w:sz w:val="24"/>
          <w:szCs w:val="24"/>
          <w:highlight w:val="none"/>
        </w:rPr>
        <w:t>24</w:t>
      </w:r>
      <w:r>
        <w:rPr>
          <w:rFonts w:hint="eastAsia" w:ascii="宋体" w:hAnsi="宋体" w:cs="宋体"/>
          <w:b/>
          <w:bCs/>
          <w:color w:val="auto"/>
          <w:sz w:val="24"/>
          <w:szCs w:val="24"/>
          <w:highlight w:val="none"/>
        </w:rPr>
        <w:t>、投标文件计算错误的修正</w:t>
      </w:r>
      <w:bookmarkEnd w:id="83"/>
      <w:bookmarkEnd w:id="84"/>
    </w:p>
    <w:p w14:paraId="208078B0">
      <w:pPr>
        <w:shd w:val="clear" w:color="auto" w:fill="FFFFFF"/>
        <w:snapToGrid w:val="0"/>
        <w:spacing w:line="360" w:lineRule="auto"/>
        <w:ind w:right="105" w:rightChars="50" w:firstLine="480" w:firstLineChars="200"/>
        <w:rPr>
          <w:rFonts w:ascii="宋体" w:hAnsi="宋体" w:cs="_5b8b_4f53"/>
          <w:b w:val="0"/>
          <w:bCs w:val="0"/>
          <w:color w:val="auto"/>
          <w:sz w:val="24"/>
          <w:szCs w:val="24"/>
          <w:highlight w:val="none"/>
        </w:rPr>
      </w:pPr>
      <w:r>
        <w:rPr>
          <w:rFonts w:hint="eastAsia" w:ascii="宋体" w:hAnsi="宋体" w:cs="_5b8b_4f53"/>
          <w:b w:val="0"/>
          <w:bCs w:val="0"/>
          <w:color w:val="auto"/>
          <w:sz w:val="24"/>
          <w:szCs w:val="24"/>
          <w:highlight w:val="none"/>
        </w:rPr>
        <w:t>24</w:t>
      </w:r>
      <w:r>
        <w:rPr>
          <w:rFonts w:ascii="宋体" w:hAnsi="宋体" w:cs="_5b8b_4f53"/>
          <w:b w:val="0"/>
          <w:bCs w:val="0"/>
          <w:color w:val="auto"/>
          <w:sz w:val="24"/>
          <w:szCs w:val="24"/>
          <w:highlight w:val="none"/>
        </w:rPr>
        <w:t>.1</w:t>
      </w:r>
      <w:r>
        <w:rPr>
          <w:rFonts w:hint="eastAsia" w:ascii="宋体" w:hAnsi="宋体" w:cs="_5b8b_4f53"/>
          <w:b w:val="0"/>
          <w:bCs w:val="0"/>
          <w:color w:val="auto"/>
          <w:sz w:val="24"/>
          <w:szCs w:val="24"/>
          <w:highlight w:val="none"/>
        </w:rPr>
        <w:t>评标委员会将对确定为实质上响应招标文件要求的投标文件进行校核，看其是否有计算或表达上的错误，修正错误的原则如下：</w:t>
      </w:r>
    </w:p>
    <w:p w14:paraId="76DBFDC5">
      <w:pPr>
        <w:shd w:val="clear" w:color="auto" w:fill="FFFFFF"/>
        <w:snapToGrid w:val="0"/>
        <w:spacing w:line="360" w:lineRule="auto"/>
        <w:ind w:right="105" w:rightChars="50" w:firstLine="480" w:firstLineChars="200"/>
        <w:rPr>
          <w:rFonts w:ascii="宋体" w:hAnsi="宋体" w:cs="_5b8b_4f53"/>
          <w:b w:val="0"/>
          <w:bCs w:val="0"/>
          <w:color w:val="auto"/>
          <w:sz w:val="24"/>
          <w:szCs w:val="24"/>
          <w:highlight w:val="none"/>
        </w:rPr>
      </w:pPr>
      <w:r>
        <w:rPr>
          <w:rFonts w:hint="eastAsia" w:ascii="宋体" w:hAnsi="宋体" w:cs="_5b8b_4f53"/>
          <w:b w:val="0"/>
          <w:bCs w:val="0"/>
          <w:color w:val="auto"/>
          <w:sz w:val="24"/>
          <w:szCs w:val="24"/>
          <w:highlight w:val="none"/>
        </w:rPr>
        <w:t>24</w:t>
      </w:r>
      <w:r>
        <w:rPr>
          <w:rFonts w:ascii="宋体" w:hAnsi="宋体" w:cs="_5b8b_4f53"/>
          <w:b w:val="0"/>
          <w:bCs w:val="0"/>
          <w:color w:val="auto"/>
          <w:sz w:val="24"/>
          <w:szCs w:val="24"/>
          <w:highlight w:val="none"/>
        </w:rPr>
        <w:t>.1.1</w:t>
      </w:r>
      <w:r>
        <w:rPr>
          <w:rFonts w:hint="eastAsia" w:ascii="宋体" w:hAnsi="宋体" w:cs="_5b8b_4f53"/>
          <w:b w:val="0"/>
          <w:bCs w:val="0"/>
          <w:color w:val="auto"/>
          <w:sz w:val="24"/>
          <w:szCs w:val="24"/>
          <w:highlight w:val="none"/>
        </w:rPr>
        <w:t>投标文件中的大写金额和小写金额不一致的，以大写金额为准；</w:t>
      </w:r>
    </w:p>
    <w:p w14:paraId="2043B496">
      <w:pPr>
        <w:shd w:val="clear" w:color="auto" w:fill="FFFFFF"/>
        <w:snapToGrid w:val="0"/>
        <w:spacing w:line="360" w:lineRule="auto"/>
        <w:ind w:right="105" w:rightChars="50" w:firstLine="480" w:firstLineChars="200"/>
        <w:rPr>
          <w:rFonts w:ascii="宋体" w:hAnsi="宋体" w:cs="_5b8b_4f53"/>
          <w:b w:val="0"/>
          <w:bCs w:val="0"/>
          <w:color w:val="auto"/>
          <w:sz w:val="24"/>
          <w:szCs w:val="24"/>
          <w:highlight w:val="none"/>
        </w:rPr>
      </w:pPr>
      <w:r>
        <w:rPr>
          <w:rFonts w:hint="eastAsia" w:ascii="宋体" w:hAnsi="宋体" w:cs="_5b8b_4f53"/>
          <w:b w:val="0"/>
          <w:bCs w:val="0"/>
          <w:color w:val="auto"/>
          <w:sz w:val="24"/>
          <w:szCs w:val="24"/>
          <w:highlight w:val="none"/>
        </w:rPr>
        <w:t>24</w:t>
      </w:r>
      <w:r>
        <w:rPr>
          <w:rFonts w:ascii="宋体" w:hAnsi="宋体" w:cs="_5b8b_4f53"/>
          <w:b w:val="0"/>
          <w:bCs w:val="0"/>
          <w:color w:val="auto"/>
          <w:sz w:val="24"/>
          <w:szCs w:val="24"/>
          <w:highlight w:val="none"/>
        </w:rPr>
        <w:t>.1.2</w:t>
      </w:r>
      <w:r>
        <w:rPr>
          <w:rFonts w:hint="eastAsia" w:ascii="宋体" w:hAnsi="宋体" w:cs="_5b8b_4f53"/>
          <w:b w:val="0"/>
          <w:bCs w:val="0"/>
          <w:color w:val="auto"/>
          <w:sz w:val="24"/>
          <w:szCs w:val="24"/>
          <w:highlight w:val="none"/>
        </w:rPr>
        <w:t>对不同文字文本投标文件的解释发生异议的，以中文文本为准。</w:t>
      </w:r>
    </w:p>
    <w:p w14:paraId="201F8E9C">
      <w:pPr>
        <w:shd w:val="clear" w:color="auto" w:fill="FFFFFF"/>
        <w:snapToGrid w:val="0"/>
        <w:spacing w:line="360" w:lineRule="auto"/>
        <w:ind w:right="105" w:rightChars="50" w:firstLine="480" w:firstLineChars="200"/>
        <w:rPr>
          <w:rFonts w:ascii="宋体" w:hAnsi="宋体" w:cs="_5b8b_4f53"/>
          <w:color w:val="auto"/>
          <w:sz w:val="24"/>
          <w:szCs w:val="24"/>
          <w:highlight w:val="none"/>
        </w:rPr>
      </w:pPr>
      <w:r>
        <w:rPr>
          <w:rFonts w:hint="eastAsia" w:ascii="宋体" w:hAnsi="宋体" w:cs="_5b8b_4f53"/>
          <w:b w:val="0"/>
          <w:bCs w:val="0"/>
          <w:color w:val="auto"/>
          <w:sz w:val="24"/>
          <w:szCs w:val="24"/>
          <w:highlight w:val="none"/>
        </w:rPr>
        <w:t>24</w:t>
      </w:r>
      <w:r>
        <w:rPr>
          <w:rFonts w:ascii="宋体" w:hAnsi="宋体" w:cs="_5b8b_4f53"/>
          <w:b w:val="0"/>
          <w:bCs w:val="0"/>
          <w:color w:val="auto"/>
          <w:sz w:val="24"/>
          <w:szCs w:val="24"/>
          <w:highlight w:val="none"/>
        </w:rPr>
        <w:t>.2</w:t>
      </w:r>
      <w:r>
        <w:rPr>
          <w:rFonts w:hint="eastAsia" w:ascii="宋体" w:hAnsi="宋体" w:cs="_5b8b_4f53"/>
          <w:b w:val="0"/>
          <w:bCs w:val="0"/>
          <w:color w:val="auto"/>
          <w:sz w:val="24"/>
          <w:szCs w:val="24"/>
          <w:highlight w:val="none"/>
        </w:rPr>
        <w:t>按上述修正错误的原则及方法调整或修正</w:t>
      </w:r>
      <w:r>
        <w:rPr>
          <w:rFonts w:hint="eastAsia" w:ascii="宋体" w:hAnsi="宋体" w:cs="_5b8b_4f53"/>
          <w:color w:val="auto"/>
          <w:sz w:val="24"/>
          <w:szCs w:val="24"/>
          <w:highlight w:val="none"/>
        </w:rPr>
        <w:t>投标文件的投标报价，投标供应商同意后，调整后的投标报价对投标供应商起约束作用。</w:t>
      </w:r>
    </w:p>
    <w:p w14:paraId="4D3A1E2D">
      <w:pPr>
        <w:shd w:val="clear" w:color="auto" w:fill="FFFFFF"/>
        <w:snapToGrid w:val="0"/>
        <w:spacing w:line="360" w:lineRule="auto"/>
        <w:ind w:right="105" w:rightChars="50" w:firstLine="482" w:firstLineChars="200"/>
        <w:outlineLvl w:val="1"/>
        <w:rPr>
          <w:rFonts w:ascii="宋体" w:hAnsi="宋体" w:cs="_5b8b_4f53"/>
          <w:color w:val="auto"/>
          <w:sz w:val="24"/>
          <w:szCs w:val="24"/>
          <w:highlight w:val="none"/>
        </w:rPr>
      </w:pPr>
      <w:bookmarkStart w:id="85" w:name="_Toc27745"/>
      <w:bookmarkStart w:id="86" w:name="_Toc30114"/>
      <w:r>
        <w:rPr>
          <w:rFonts w:hint="eastAsia" w:ascii="宋体" w:hAnsi="宋体" w:cs="_5b8b_4f53"/>
          <w:b/>
          <w:bCs/>
          <w:color w:val="auto"/>
          <w:sz w:val="24"/>
          <w:szCs w:val="24"/>
          <w:highlight w:val="none"/>
        </w:rPr>
        <w:t>25、</w:t>
      </w:r>
      <w:r>
        <w:rPr>
          <w:rFonts w:hint="eastAsia" w:ascii="宋体" w:hAnsi="宋体" w:cs="宋体"/>
          <w:b/>
          <w:bCs/>
          <w:color w:val="auto"/>
          <w:sz w:val="24"/>
          <w:szCs w:val="24"/>
          <w:highlight w:val="none"/>
        </w:rPr>
        <w:t>投标文件的评审、比较和否决</w:t>
      </w:r>
      <w:bookmarkEnd w:id="85"/>
      <w:bookmarkEnd w:id="86"/>
    </w:p>
    <w:p w14:paraId="705748BE">
      <w:pPr>
        <w:shd w:val="clear" w:color="auto" w:fill="FFFFFF"/>
        <w:snapToGrid w:val="0"/>
        <w:spacing w:line="360" w:lineRule="auto"/>
        <w:ind w:right="105" w:rightChars="50" w:firstLine="480" w:firstLineChars="200"/>
        <w:rPr>
          <w:rFonts w:ascii="宋体" w:hAnsi="宋体" w:cs="_5b8b_4f53"/>
          <w:b w:val="0"/>
          <w:bCs w:val="0"/>
          <w:color w:val="auto"/>
          <w:sz w:val="24"/>
          <w:szCs w:val="24"/>
          <w:highlight w:val="none"/>
        </w:rPr>
      </w:pPr>
      <w:r>
        <w:rPr>
          <w:rFonts w:ascii="宋体" w:hAnsi="宋体" w:cs="_5b8b_4f53"/>
          <w:b w:val="0"/>
          <w:bCs w:val="0"/>
          <w:color w:val="auto"/>
          <w:sz w:val="24"/>
          <w:szCs w:val="24"/>
          <w:highlight w:val="none"/>
        </w:rPr>
        <w:t>2</w:t>
      </w:r>
      <w:r>
        <w:rPr>
          <w:rFonts w:hint="eastAsia" w:ascii="宋体" w:hAnsi="宋体" w:cs="_5b8b_4f53"/>
          <w:b w:val="0"/>
          <w:bCs w:val="0"/>
          <w:color w:val="auto"/>
          <w:sz w:val="24"/>
          <w:szCs w:val="24"/>
          <w:highlight w:val="none"/>
        </w:rPr>
        <w:t>5.</w:t>
      </w:r>
      <w:r>
        <w:rPr>
          <w:rFonts w:ascii="宋体" w:hAnsi="宋体" w:cs="_5b8b_4f53"/>
          <w:b w:val="0"/>
          <w:bCs w:val="0"/>
          <w:color w:val="auto"/>
          <w:sz w:val="24"/>
          <w:szCs w:val="24"/>
          <w:highlight w:val="none"/>
        </w:rPr>
        <w:t>1</w:t>
      </w:r>
      <w:r>
        <w:rPr>
          <w:rFonts w:hint="eastAsia" w:ascii="宋体" w:hAnsi="宋体" w:cs="_5b8b_4f53"/>
          <w:b w:val="0"/>
          <w:bCs w:val="0"/>
          <w:color w:val="auto"/>
          <w:sz w:val="24"/>
          <w:szCs w:val="24"/>
          <w:highlight w:val="none"/>
        </w:rPr>
        <w:t>评标委员会将按照招标文件的规定，仅对在实质上响应招标文件要求的上传投标文件进行评估和比较。</w:t>
      </w:r>
    </w:p>
    <w:p w14:paraId="5B6444F2">
      <w:pPr>
        <w:shd w:val="clear" w:color="auto" w:fill="FFFFFF"/>
        <w:snapToGrid w:val="0"/>
        <w:spacing w:line="360" w:lineRule="auto"/>
        <w:ind w:right="105" w:rightChars="50" w:firstLine="480" w:firstLineChars="200"/>
        <w:rPr>
          <w:rFonts w:ascii="宋体" w:hAnsi="宋体" w:cs="_5b8b_4f53"/>
          <w:b w:val="0"/>
          <w:bCs w:val="0"/>
          <w:color w:val="auto"/>
          <w:sz w:val="24"/>
          <w:szCs w:val="24"/>
          <w:highlight w:val="none"/>
        </w:rPr>
      </w:pPr>
      <w:r>
        <w:rPr>
          <w:rFonts w:hint="eastAsia" w:ascii="宋体" w:hAnsi="宋体" w:cs="_5b8b_4f53"/>
          <w:b w:val="0"/>
          <w:bCs w:val="0"/>
          <w:color w:val="auto"/>
          <w:sz w:val="24"/>
          <w:szCs w:val="24"/>
          <w:highlight w:val="none"/>
        </w:rPr>
        <w:t>25</w:t>
      </w:r>
      <w:r>
        <w:rPr>
          <w:rFonts w:ascii="宋体" w:hAnsi="宋体" w:cs="_5b8b_4f53"/>
          <w:b w:val="0"/>
          <w:bCs w:val="0"/>
          <w:color w:val="auto"/>
          <w:sz w:val="24"/>
          <w:szCs w:val="24"/>
          <w:highlight w:val="none"/>
        </w:rPr>
        <w:t>.2</w:t>
      </w:r>
      <w:r>
        <w:rPr>
          <w:rFonts w:hint="eastAsia" w:ascii="宋体" w:hAnsi="宋体" w:cs="_5b8b_4f53"/>
          <w:b w:val="0"/>
          <w:bCs w:val="0"/>
          <w:color w:val="auto"/>
          <w:sz w:val="24"/>
          <w:szCs w:val="24"/>
          <w:highlight w:val="none"/>
        </w:rPr>
        <w:t>根据相关法律法规及有关招投标文件规定，结合本项目具体情况，制定本次招标评标办法。并按照“公平、公正、科学、择优”的原则进行评标。采用综合评分法进行评比。</w:t>
      </w:r>
    </w:p>
    <w:p w14:paraId="0A45D8F1">
      <w:pPr>
        <w:shd w:val="clear" w:color="auto" w:fill="FFFFFF"/>
        <w:snapToGrid w:val="0"/>
        <w:spacing w:line="360" w:lineRule="auto"/>
        <w:ind w:right="105" w:rightChars="50" w:firstLine="480" w:firstLineChars="200"/>
        <w:rPr>
          <w:rFonts w:ascii="宋体" w:hAnsi="宋体" w:cs="_5b8b_4f53"/>
          <w:b w:val="0"/>
          <w:bCs w:val="0"/>
          <w:color w:val="auto"/>
          <w:sz w:val="24"/>
          <w:szCs w:val="24"/>
          <w:highlight w:val="none"/>
        </w:rPr>
      </w:pPr>
      <w:r>
        <w:rPr>
          <w:rFonts w:hint="eastAsia" w:ascii="宋体" w:hAnsi="宋体" w:cs="_5b8b_4f53"/>
          <w:b w:val="0"/>
          <w:bCs w:val="0"/>
          <w:color w:val="auto"/>
          <w:sz w:val="24"/>
          <w:szCs w:val="24"/>
          <w:highlight w:val="none"/>
        </w:rPr>
        <w:t>25</w:t>
      </w:r>
      <w:r>
        <w:rPr>
          <w:rFonts w:ascii="宋体" w:hAnsi="宋体" w:cs="_5b8b_4f53"/>
          <w:b w:val="0"/>
          <w:bCs w:val="0"/>
          <w:color w:val="auto"/>
          <w:sz w:val="24"/>
          <w:szCs w:val="24"/>
          <w:highlight w:val="none"/>
        </w:rPr>
        <w:t>.3</w:t>
      </w:r>
      <w:r>
        <w:rPr>
          <w:rFonts w:hint="eastAsia" w:ascii="宋体" w:hAnsi="宋体" w:cs="_5b8b_4f53"/>
          <w:b w:val="0"/>
          <w:bCs w:val="0"/>
          <w:color w:val="auto"/>
          <w:sz w:val="24"/>
          <w:szCs w:val="24"/>
          <w:highlight w:val="none"/>
        </w:rPr>
        <w:t>在评审过程中，评标委员会可以要求投标供应商就投标文件中含义不明确的内容进行说明并提供相关材料。</w:t>
      </w:r>
    </w:p>
    <w:p w14:paraId="24E7AA66">
      <w:pPr>
        <w:shd w:val="clear" w:color="auto" w:fill="FFFFFF"/>
        <w:snapToGrid w:val="0"/>
        <w:spacing w:line="360" w:lineRule="auto"/>
        <w:ind w:right="105" w:rightChars="50" w:firstLine="480" w:firstLineChars="200"/>
        <w:rPr>
          <w:rFonts w:ascii="宋体" w:hAnsi="宋体" w:cs="_5b8b_4f53"/>
          <w:b w:val="0"/>
          <w:bCs w:val="0"/>
          <w:color w:val="auto"/>
          <w:sz w:val="24"/>
          <w:szCs w:val="24"/>
          <w:highlight w:val="none"/>
        </w:rPr>
      </w:pPr>
      <w:r>
        <w:rPr>
          <w:rFonts w:hint="eastAsia" w:ascii="宋体" w:hAnsi="宋体" w:cs="_5b8b_4f53"/>
          <w:b w:val="0"/>
          <w:bCs w:val="0"/>
          <w:color w:val="auto"/>
          <w:sz w:val="24"/>
          <w:szCs w:val="24"/>
          <w:highlight w:val="none"/>
        </w:rPr>
        <w:t>25</w:t>
      </w:r>
      <w:r>
        <w:rPr>
          <w:rFonts w:ascii="宋体" w:hAnsi="宋体" w:cs="_5b8b_4f53"/>
          <w:b w:val="0"/>
          <w:bCs w:val="0"/>
          <w:color w:val="auto"/>
          <w:sz w:val="24"/>
          <w:szCs w:val="24"/>
          <w:highlight w:val="none"/>
        </w:rPr>
        <w:t>.4</w:t>
      </w:r>
      <w:r>
        <w:rPr>
          <w:rFonts w:hint="eastAsia" w:ascii="宋体" w:hAnsi="宋体" w:cs="_5b8b_4f53"/>
          <w:b w:val="0"/>
          <w:bCs w:val="0"/>
          <w:color w:val="auto"/>
          <w:sz w:val="24"/>
          <w:szCs w:val="24"/>
          <w:highlight w:val="none"/>
        </w:rPr>
        <w:t>评标时，投标报价是评标的重要依据，但不是唯一依据，采购人不承诺将合同授予报价最低或最高的投标供应商。</w:t>
      </w:r>
      <w:r>
        <w:rPr>
          <w:rFonts w:hint="eastAsia" w:ascii="宋体" w:hAnsi="宋体" w:cs="_5b8b_4f53"/>
          <w:color w:val="auto"/>
          <w:sz w:val="24"/>
          <w:szCs w:val="24"/>
          <w:highlight w:val="none"/>
        </w:rPr>
        <w:t>投标</w:t>
      </w:r>
      <w:r>
        <w:rPr>
          <w:color w:val="auto"/>
          <w:sz w:val="24"/>
          <w:szCs w:val="24"/>
          <w:highlight w:val="none"/>
          <w:shd w:val="clear" w:color="050000" w:fill="auto"/>
        </w:rPr>
        <w:t>报价明显低于其他报价，使得其报价可能低于其个别成本的，有可能影响</w:t>
      </w:r>
      <w:r>
        <w:rPr>
          <w:rFonts w:hint="eastAsia"/>
          <w:color w:val="auto"/>
          <w:sz w:val="24"/>
          <w:szCs w:val="24"/>
          <w:highlight w:val="none"/>
          <w:shd w:val="clear" w:color="050000" w:fill="auto"/>
        </w:rPr>
        <w:t>货物</w:t>
      </w:r>
      <w:r>
        <w:rPr>
          <w:color w:val="auto"/>
          <w:sz w:val="24"/>
          <w:szCs w:val="24"/>
          <w:highlight w:val="none"/>
          <w:shd w:val="clear" w:color="050000" w:fill="auto"/>
        </w:rPr>
        <w:t>质量或不能诚信履约的，</w:t>
      </w:r>
      <w:r>
        <w:rPr>
          <w:rFonts w:hint="eastAsia"/>
          <w:color w:val="auto"/>
          <w:sz w:val="24"/>
          <w:szCs w:val="24"/>
          <w:highlight w:val="none"/>
          <w:shd w:val="clear" w:color="050000" w:fill="auto"/>
        </w:rPr>
        <w:t>评标委员会</w:t>
      </w:r>
      <w:r>
        <w:rPr>
          <w:color w:val="auto"/>
          <w:sz w:val="24"/>
          <w:szCs w:val="24"/>
          <w:highlight w:val="none"/>
          <w:shd w:val="clear" w:color="050000" w:fill="auto"/>
        </w:rPr>
        <w:t>可要求</w:t>
      </w:r>
      <w:r>
        <w:rPr>
          <w:rFonts w:hint="eastAsia"/>
          <w:color w:val="auto"/>
          <w:sz w:val="24"/>
          <w:szCs w:val="24"/>
          <w:highlight w:val="none"/>
          <w:shd w:val="clear" w:color="050000" w:fill="auto"/>
        </w:rPr>
        <w:t>供应商</w:t>
      </w:r>
      <w:r>
        <w:rPr>
          <w:color w:val="auto"/>
          <w:sz w:val="24"/>
          <w:szCs w:val="24"/>
          <w:highlight w:val="none"/>
          <w:shd w:val="clear" w:color="050000" w:fill="auto"/>
        </w:rPr>
        <w:t>做出说明并提供相关证明材料。不能合理说明或不能提供相关证明材料的，其</w:t>
      </w:r>
      <w:r>
        <w:rPr>
          <w:rFonts w:hint="eastAsia"/>
          <w:color w:val="auto"/>
          <w:sz w:val="24"/>
          <w:szCs w:val="24"/>
          <w:highlight w:val="none"/>
          <w:shd w:val="clear" w:color="050000" w:fill="auto"/>
        </w:rPr>
        <w:t>投标</w:t>
      </w:r>
      <w:r>
        <w:rPr>
          <w:color w:val="auto"/>
          <w:sz w:val="24"/>
          <w:szCs w:val="24"/>
          <w:highlight w:val="none"/>
          <w:shd w:val="clear" w:color="050000" w:fill="auto"/>
        </w:rPr>
        <w:t>应文件有可能被拒绝</w:t>
      </w:r>
      <w:r>
        <w:rPr>
          <w:rFonts w:hint="eastAsia"/>
          <w:color w:val="auto"/>
          <w:sz w:val="24"/>
          <w:szCs w:val="24"/>
          <w:highlight w:val="none"/>
          <w:shd w:val="clear" w:color="050000" w:fill="auto"/>
        </w:rPr>
        <w:t>。</w:t>
      </w:r>
    </w:p>
    <w:p w14:paraId="7E212601">
      <w:pPr>
        <w:shd w:val="clear" w:color="auto" w:fill="FFFFFF"/>
        <w:snapToGrid w:val="0"/>
        <w:spacing w:line="360" w:lineRule="auto"/>
        <w:ind w:right="105" w:rightChars="50" w:firstLine="480" w:firstLineChars="200"/>
        <w:rPr>
          <w:rFonts w:hint="eastAsia" w:ascii="宋体" w:hAnsi="宋体" w:cs="_5b8b_4f53"/>
          <w:b w:val="0"/>
          <w:bCs w:val="0"/>
          <w:color w:val="auto"/>
          <w:sz w:val="24"/>
          <w:szCs w:val="24"/>
          <w:highlight w:val="none"/>
        </w:rPr>
      </w:pPr>
      <w:r>
        <w:rPr>
          <w:rFonts w:ascii="宋体" w:hAnsi="宋体" w:cs="_5b8b_4f53"/>
          <w:b w:val="0"/>
          <w:bCs w:val="0"/>
          <w:color w:val="auto"/>
          <w:sz w:val="24"/>
          <w:szCs w:val="24"/>
          <w:highlight w:val="none"/>
        </w:rPr>
        <w:t>2</w:t>
      </w:r>
      <w:r>
        <w:rPr>
          <w:rFonts w:hint="eastAsia" w:ascii="宋体" w:hAnsi="宋体" w:cs="_5b8b_4f53"/>
          <w:b w:val="0"/>
          <w:bCs w:val="0"/>
          <w:color w:val="auto"/>
          <w:sz w:val="24"/>
          <w:szCs w:val="24"/>
          <w:highlight w:val="none"/>
        </w:rPr>
        <w:t>5</w:t>
      </w:r>
      <w:r>
        <w:rPr>
          <w:rFonts w:ascii="宋体" w:hAnsi="宋体" w:cs="_5b8b_4f53"/>
          <w:b w:val="0"/>
          <w:bCs w:val="0"/>
          <w:color w:val="auto"/>
          <w:sz w:val="24"/>
          <w:szCs w:val="24"/>
          <w:highlight w:val="none"/>
        </w:rPr>
        <w:t>.5</w:t>
      </w:r>
      <w:r>
        <w:rPr>
          <w:rFonts w:hint="eastAsia" w:ascii="宋体" w:hAnsi="宋体" w:cs="_5b8b_4f53"/>
          <w:b w:val="0"/>
          <w:bCs w:val="0"/>
          <w:color w:val="auto"/>
          <w:sz w:val="24"/>
          <w:szCs w:val="24"/>
          <w:highlight w:val="none"/>
        </w:rPr>
        <w:t>评标委员会依据本须知规定的评标标准和方法，对投标文件进行评审和比较，向采购人提出书面评标报告，并推荐合格的中标候选人。</w:t>
      </w:r>
    </w:p>
    <w:p w14:paraId="2A3EFE65">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ascii="宋体" w:hAnsi="宋体" w:eastAsia="宋体" w:cs="_5b8b_4f53"/>
          <w:b w:val="0"/>
          <w:bCs w:val="0"/>
          <w:color w:val="auto"/>
          <w:sz w:val="24"/>
          <w:szCs w:val="24"/>
          <w:highlight w:val="none"/>
        </w:rPr>
        <w:t>25.6</w:t>
      </w:r>
      <w:r>
        <w:rPr>
          <w:rFonts w:hint="eastAsia" w:ascii="宋体" w:hAnsi="宋体" w:cs="宋体"/>
          <w:b w:val="0"/>
          <w:bCs w:val="0"/>
          <w:color w:val="auto"/>
          <w:kern w:val="0"/>
          <w:sz w:val="24"/>
          <w:szCs w:val="24"/>
          <w:highlight w:val="none"/>
        </w:rPr>
        <w:t>本项目采用综合评分法，按评审后得分由高到低顺序排列。得分相同的，按投标报价由低到高的顺序排列。得</w:t>
      </w:r>
      <w:r>
        <w:rPr>
          <w:rFonts w:hint="eastAsia" w:ascii="宋体" w:hAnsi="宋体" w:cs="宋体"/>
          <w:color w:val="auto"/>
          <w:kern w:val="0"/>
          <w:sz w:val="24"/>
          <w:szCs w:val="24"/>
          <w:highlight w:val="none"/>
        </w:rPr>
        <w:t>分且投标报价相同的，按技术标得分由高到低的顺序排列。技术指标仍相同的，按商务标由高到低的顺序排列，以上各项都相同的，由评标委员会推荐中标供应商。</w:t>
      </w:r>
    </w:p>
    <w:p w14:paraId="064A966C">
      <w:pPr>
        <w:shd w:val="clear" w:color="auto" w:fill="FFFFFF"/>
        <w:snapToGrid w:val="0"/>
        <w:spacing w:line="360" w:lineRule="auto"/>
        <w:ind w:right="105" w:rightChars="50" w:firstLine="602" w:firstLineChars="200"/>
        <w:jc w:val="center"/>
        <w:outlineLvl w:val="0"/>
        <w:rPr>
          <w:rFonts w:ascii="宋体" w:hAnsi="宋体" w:cs="_5b8b_4f53"/>
          <w:b/>
          <w:bCs/>
          <w:color w:val="auto"/>
          <w:sz w:val="30"/>
          <w:szCs w:val="30"/>
          <w:highlight w:val="none"/>
        </w:rPr>
      </w:pPr>
      <w:bookmarkStart w:id="87" w:name="_Toc21227"/>
      <w:bookmarkStart w:id="88" w:name="_Toc3847"/>
      <w:r>
        <w:rPr>
          <w:rFonts w:hint="eastAsia" w:ascii="宋体" w:hAnsi="宋体" w:cs="_5b8b_4f53"/>
          <w:b/>
          <w:bCs/>
          <w:color w:val="auto"/>
          <w:sz w:val="30"/>
          <w:szCs w:val="30"/>
          <w:highlight w:val="none"/>
        </w:rPr>
        <w:t>七、授予合同</w:t>
      </w:r>
      <w:bookmarkEnd w:id="87"/>
      <w:bookmarkEnd w:id="88"/>
    </w:p>
    <w:p w14:paraId="792AFA75">
      <w:pPr>
        <w:shd w:val="clear" w:color="auto" w:fill="FFFFFF"/>
        <w:snapToGrid w:val="0"/>
        <w:spacing w:line="360" w:lineRule="auto"/>
        <w:ind w:right="105" w:rightChars="50" w:firstLine="482" w:firstLineChars="200"/>
        <w:outlineLvl w:val="1"/>
        <w:rPr>
          <w:rFonts w:ascii="宋体" w:hAnsi="宋体" w:cs="_5b8b_4f53"/>
          <w:color w:val="auto"/>
          <w:sz w:val="24"/>
          <w:szCs w:val="24"/>
          <w:highlight w:val="none"/>
        </w:rPr>
      </w:pPr>
      <w:bookmarkStart w:id="89" w:name="_Toc29644"/>
      <w:bookmarkStart w:id="90" w:name="_Toc15599"/>
      <w:r>
        <w:rPr>
          <w:rFonts w:hint="eastAsia" w:ascii="宋体" w:hAnsi="宋体" w:cs="_5b8b_4f53"/>
          <w:b/>
          <w:bCs/>
          <w:color w:val="auto"/>
          <w:sz w:val="24"/>
          <w:szCs w:val="24"/>
          <w:highlight w:val="none"/>
        </w:rPr>
        <w:t>26、</w:t>
      </w:r>
      <w:r>
        <w:rPr>
          <w:rFonts w:hint="eastAsia" w:ascii="宋体" w:hAnsi="宋体" w:cs="宋体"/>
          <w:b/>
          <w:bCs/>
          <w:color w:val="auto"/>
          <w:sz w:val="24"/>
          <w:szCs w:val="24"/>
          <w:highlight w:val="none"/>
        </w:rPr>
        <w:t>授予合同标准</w:t>
      </w:r>
      <w:bookmarkEnd w:id="89"/>
      <w:bookmarkEnd w:id="90"/>
    </w:p>
    <w:p w14:paraId="18B5CCEC">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bCs/>
          <w:color w:val="auto"/>
          <w:sz w:val="24"/>
          <w:szCs w:val="24"/>
          <w:highlight w:val="none"/>
        </w:rPr>
        <w:t>26.</w:t>
      </w:r>
      <w:r>
        <w:rPr>
          <w:rFonts w:ascii="宋体" w:hAnsi="宋体" w:cs="_5b8b_4f53"/>
          <w:b/>
          <w:bCs/>
          <w:color w:val="auto"/>
          <w:sz w:val="24"/>
          <w:szCs w:val="24"/>
          <w:highlight w:val="none"/>
        </w:rPr>
        <w:t>1</w:t>
      </w:r>
      <w:r>
        <w:rPr>
          <w:rFonts w:hint="eastAsia" w:ascii="宋体" w:hAnsi="宋体" w:cs="_5b8b_4f53"/>
          <w:color w:val="auto"/>
          <w:sz w:val="24"/>
          <w:szCs w:val="24"/>
          <w:highlight w:val="none"/>
        </w:rPr>
        <w:t>本招标项目的合同将授予按本评标办法确定的中标供应商。</w:t>
      </w:r>
    </w:p>
    <w:p w14:paraId="1F06293A">
      <w:pPr>
        <w:shd w:val="clear" w:color="auto" w:fill="FFFFFF"/>
        <w:snapToGrid w:val="0"/>
        <w:spacing w:line="360" w:lineRule="auto"/>
        <w:ind w:right="105" w:rightChars="50" w:firstLine="482" w:firstLineChars="200"/>
        <w:rPr>
          <w:rFonts w:hint="eastAsia" w:ascii="宋体" w:hAnsi="宋体" w:cs="_5b8b_4f53"/>
          <w:color w:val="auto"/>
          <w:sz w:val="24"/>
          <w:szCs w:val="24"/>
          <w:highlight w:val="none"/>
        </w:rPr>
      </w:pPr>
      <w:r>
        <w:rPr>
          <w:rFonts w:hint="eastAsia" w:ascii="宋体" w:hAnsi="宋体" w:cs="_5b8b_4f53"/>
          <w:b/>
          <w:bCs/>
          <w:color w:val="auto"/>
          <w:sz w:val="24"/>
          <w:szCs w:val="24"/>
          <w:highlight w:val="none"/>
        </w:rPr>
        <w:t>26</w:t>
      </w:r>
      <w:r>
        <w:rPr>
          <w:rFonts w:ascii="宋体" w:hAnsi="宋体" w:cs="_5b8b_4f53"/>
          <w:b/>
          <w:bCs/>
          <w:color w:val="auto"/>
          <w:sz w:val="24"/>
          <w:szCs w:val="24"/>
          <w:highlight w:val="none"/>
        </w:rPr>
        <w:t>.2</w:t>
      </w:r>
      <w:r>
        <w:rPr>
          <w:rFonts w:hint="eastAsia" w:ascii="宋体" w:hAnsi="宋体" w:cs="_5b8b_4f53"/>
          <w:color w:val="auto"/>
          <w:sz w:val="24"/>
          <w:szCs w:val="24"/>
          <w:highlight w:val="none"/>
        </w:rPr>
        <w:t>评标委员会经采购人授权，确定排名第一的中标候选人为中标供应商。当确定中标的中标供应商候选人放弃中标或因不可抗力提出不能履行合同的，采购人可以按序确定排名第二的中标候选人为中标供应商，以此类推。</w:t>
      </w:r>
    </w:p>
    <w:p w14:paraId="49A6A895">
      <w:pPr>
        <w:autoSpaceDE w:val="0"/>
        <w:autoSpaceDN w:val="0"/>
        <w:adjustRightInd w:val="0"/>
        <w:spacing w:line="360" w:lineRule="auto"/>
        <w:ind w:firstLine="480" w:firstLineChars="200"/>
        <w:jc w:val="left"/>
        <w:outlineLvl w:val="1"/>
        <w:rPr>
          <w:rFonts w:ascii="宋体" w:hAnsi="宋体" w:cs="宋体"/>
          <w:color w:val="auto"/>
          <w:kern w:val="0"/>
          <w:sz w:val="24"/>
          <w:szCs w:val="24"/>
          <w:highlight w:val="none"/>
        </w:rPr>
      </w:pPr>
      <w:bookmarkStart w:id="91" w:name="_Toc26397"/>
      <w:bookmarkStart w:id="92" w:name="_Toc17444"/>
      <w:r>
        <w:rPr>
          <w:rFonts w:ascii="宋体" w:hAnsi="宋体" w:cs="宋体"/>
          <w:color w:val="auto"/>
          <w:kern w:val="0"/>
          <w:sz w:val="24"/>
          <w:szCs w:val="24"/>
          <w:highlight w:val="none"/>
        </w:rPr>
        <w:t>27</w:t>
      </w:r>
      <w:r>
        <w:rPr>
          <w:rFonts w:hint="eastAsia" w:ascii="宋体" w:hAnsi="宋体" w:cs="宋体"/>
          <w:color w:val="auto"/>
          <w:kern w:val="0"/>
          <w:sz w:val="24"/>
          <w:szCs w:val="24"/>
          <w:highlight w:val="none"/>
        </w:rPr>
        <w:t>、授予合同时变更数量的权利</w:t>
      </w:r>
      <w:bookmarkEnd w:id="91"/>
      <w:bookmarkEnd w:id="92"/>
    </w:p>
    <w:p w14:paraId="4F83E08E">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ascii="宋体" w:hAnsi="宋体" w:cs="宋体"/>
          <w:color w:val="auto"/>
          <w:kern w:val="0"/>
          <w:sz w:val="24"/>
          <w:szCs w:val="24"/>
          <w:highlight w:val="none"/>
        </w:rPr>
        <w:t>27.1</w:t>
      </w:r>
      <w:r>
        <w:rPr>
          <w:rFonts w:hint="eastAsia" w:ascii="宋体" w:hAnsi="宋体" w:cs="宋体"/>
          <w:color w:val="auto"/>
          <w:kern w:val="0"/>
          <w:sz w:val="24"/>
          <w:szCs w:val="24"/>
          <w:highlight w:val="none"/>
        </w:rPr>
        <w:t>采购人在授予合同时，保留对货物数量予以适当增减的权利。供应商不得在此情况下对投标文件作出修改，如价格、</w:t>
      </w:r>
      <w:r>
        <w:rPr>
          <w:rFonts w:hint="eastAsia" w:ascii="宋体" w:hAnsi="宋体" w:cs="宋体"/>
          <w:color w:val="auto"/>
          <w:kern w:val="0"/>
          <w:sz w:val="24"/>
          <w:szCs w:val="24"/>
          <w:highlight w:val="none"/>
          <w:lang w:val="en-US" w:eastAsia="zh-CN"/>
        </w:rPr>
        <w:t>供货</w:t>
      </w:r>
      <w:r>
        <w:rPr>
          <w:rFonts w:hint="eastAsia" w:ascii="宋体" w:hAnsi="宋体" w:cs="宋体"/>
          <w:color w:val="auto"/>
          <w:kern w:val="0"/>
          <w:sz w:val="24"/>
          <w:szCs w:val="24"/>
          <w:highlight w:val="none"/>
        </w:rPr>
        <w:t>期、售后服务等。</w:t>
      </w:r>
    </w:p>
    <w:p w14:paraId="25A62E15">
      <w:pPr>
        <w:shd w:val="clear" w:color="auto" w:fill="FFFFFF"/>
        <w:snapToGrid w:val="0"/>
        <w:spacing w:line="360" w:lineRule="auto"/>
        <w:ind w:right="105" w:rightChars="50" w:firstLine="482" w:firstLineChars="200"/>
        <w:outlineLvl w:val="1"/>
        <w:rPr>
          <w:rFonts w:ascii="宋体" w:hAnsi="宋体" w:cs="_5b8b_4f53"/>
          <w:color w:val="auto"/>
          <w:sz w:val="24"/>
          <w:szCs w:val="24"/>
          <w:highlight w:val="none"/>
        </w:rPr>
      </w:pPr>
      <w:bookmarkStart w:id="93" w:name="_Toc15915"/>
      <w:bookmarkStart w:id="94" w:name="_Toc20731"/>
      <w:r>
        <w:rPr>
          <w:rFonts w:hint="eastAsia" w:ascii="宋体" w:hAnsi="宋体" w:cs="_5b8b_4f53"/>
          <w:b/>
          <w:bCs/>
          <w:color w:val="auto"/>
          <w:sz w:val="24"/>
          <w:szCs w:val="24"/>
          <w:highlight w:val="none"/>
        </w:rPr>
        <w:t>28、</w:t>
      </w:r>
      <w:r>
        <w:rPr>
          <w:rFonts w:hint="eastAsia" w:ascii="宋体" w:hAnsi="宋体" w:cs="宋体"/>
          <w:b/>
          <w:bCs/>
          <w:color w:val="auto"/>
          <w:sz w:val="24"/>
          <w:szCs w:val="24"/>
          <w:highlight w:val="none"/>
        </w:rPr>
        <w:t>采购人拒绝投标的权力</w:t>
      </w:r>
      <w:bookmarkEnd w:id="93"/>
      <w:bookmarkEnd w:id="94"/>
    </w:p>
    <w:p w14:paraId="79C8D889">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color w:val="auto"/>
          <w:sz w:val="24"/>
          <w:szCs w:val="24"/>
          <w:highlight w:val="none"/>
        </w:rPr>
        <w:t>28</w:t>
      </w:r>
      <w:r>
        <w:rPr>
          <w:rFonts w:ascii="宋体" w:hAnsi="宋体" w:cs="_5b8b_4f53"/>
          <w:b/>
          <w:color w:val="auto"/>
          <w:sz w:val="24"/>
          <w:szCs w:val="24"/>
          <w:highlight w:val="none"/>
        </w:rPr>
        <w:t>.1</w:t>
      </w:r>
      <w:r>
        <w:rPr>
          <w:rFonts w:hint="eastAsia" w:ascii="宋体" w:hAnsi="宋体" w:cs="_5b8b_4f53"/>
          <w:color w:val="auto"/>
          <w:sz w:val="24"/>
          <w:szCs w:val="24"/>
          <w:highlight w:val="none"/>
        </w:rPr>
        <w:t>采购人不承诺将合同授予报价最低的或最高的中标候选人。</w:t>
      </w:r>
    </w:p>
    <w:p w14:paraId="6A622FCB">
      <w:pPr>
        <w:shd w:val="clear" w:color="auto" w:fill="FFFFFF"/>
        <w:snapToGrid w:val="0"/>
        <w:spacing w:line="360" w:lineRule="auto"/>
        <w:ind w:right="105" w:rightChars="50" w:firstLine="482" w:firstLineChars="200"/>
        <w:outlineLvl w:val="1"/>
        <w:rPr>
          <w:rFonts w:ascii="宋体" w:hAnsi="宋体" w:cs="_5b8b_4f53"/>
          <w:color w:val="auto"/>
          <w:sz w:val="24"/>
          <w:szCs w:val="24"/>
          <w:highlight w:val="none"/>
        </w:rPr>
      </w:pPr>
      <w:bookmarkStart w:id="95" w:name="_Toc14052"/>
      <w:bookmarkStart w:id="96" w:name="_Toc6610"/>
      <w:r>
        <w:rPr>
          <w:rFonts w:hint="eastAsia" w:ascii="宋体" w:hAnsi="宋体" w:cs="_5b8b_4f53"/>
          <w:b/>
          <w:bCs/>
          <w:color w:val="auto"/>
          <w:sz w:val="24"/>
          <w:szCs w:val="24"/>
          <w:highlight w:val="none"/>
        </w:rPr>
        <w:t>29、中标通知</w:t>
      </w:r>
      <w:bookmarkEnd w:id="95"/>
      <w:bookmarkEnd w:id="96"/>
    </w:p>
    <w:p w14:paraId="75F8DC6F">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bCs/>
          <w:color w:val="auto"/>
          <w:sz w:val="24"/>
          <w:szCs w:val="24"/>
          <w:highlight w:val="none"/>
        </w:rPr>
        <w:t>29</w:t>
      </w:r>
      <w:r>
        <w:rPr>
          <w:rFonts w:ascii="宋体" w:hAnsi="宋体" w:cs="_5b8b_4f53"/>
          <w:b/>
          <w:bCs/>
          <w:color w:val="auto"/>
          <w:sz w:val="24"/>
          <w:szCs w:val="24"/>
          <w:highlight w:val="none"/>
        </w:rPr>
        <w:t>.1</w:t>
      </w:r>
      <w:r>
        <w:rPr>
          <w:rFonts w:hint="eastAsia" w:ascii="宋体" w:hAnsi="宋体" w:cs="_5b8b_4f53"/>
          <w:color w:val="auto"/>
          <w:sz w:val="24"/>
          <w:szCs w:val="24"/>
          <w:highlight w:val="none"/>
        </w:rPr>
        <w:t>中标供应商确定后，在发布本项目招标公告的媒介上发布中标公示。</w:t>
      </w:r>
    </w:p>
    <w:p w14:paraId="6734FC40">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bCs/>
          <w:color w:val="auto"/>
          <w:sz w:val="24"/>
          <w:szCs w:val="24"/>
          <w:highlight w:val="none"/>
        </w:rPr>
        <w:t>29</w:t>
      </w:r>
      <w:r>
        <w:rPr>
          <w:rFonts w:ascii="宋体" w:hAnsi="宋体" w:cs="_5b8b_4f53"/>
          <w:b/>
          <w:bCs/>
          <w:color w:val="auto"/>
          <w:sz w:val="24"/>
          <w:szCs w:val="24"/>
          <w:highlight w:val="none"/>
        </w:rPr>
        <w:t>.2</w:t>
      </w:r>
      <w:r>
        <w:rPr>
          <w:rFonts w:hint="eastAsia" w:ascii="宋体" w:hAnsi="宋体" w:cs="_5b8b_4f53"/>
          <w:color w:val="auto"/>
          <w:sz w:val="24"/>
          <w:szCs w:val="24"/>
          <w:highlight w:val="none"/>
        </w:rPr>
        <w:t>中标通知书是合同的组成部分。</w:t>
      </w:r>
    </w:p>
    <w:p w14:paraId="1FA24364">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bCs/>
          <w:color w:val="auto"/>
          <w:sz w:val="24"/>
          <w:szCs w:val="24"/>
          <w:highlight w:val="none"/>
        </w:rPr>
        <w:t>29</w:t>
      </w:r>
      <w:r>
        <w:rPr>
          <w:rFonts w:ascii="宋体" w:hAnsi="宋体" w:cs="_5b8b_4f53"/>
          <w:b/>
          <w:bCs/>
          <w:color w:val="auto"/>
          <w:sz w:val="24"/>
          <w:szCs w:val="24"/>
          <w:highlight w:val="none"/>
        </w:rPr>
        <w:t>.3</w:t>
      </w:r>
      <w:r>
        <w:rPr>
          <w:rFonts w:hint="eastAsia" w:ascii="宋体" w:hAnsi="宋体" w:cs="_5b8b_4f53"/>
          <w:color w:val="auto"/>
          <w:sz w:val="24"/>
          <w:szCs w:val="24"/>
          <w:highlight w:val="none"/>
        </w:rPr>
        <w:t>对未中标的投标供应商，不做任何未中标原因的解释。所有投标文件不予退还。</w:t>
      </w:r>
    </w:p>
    <w:p w14:paraId="478C94F5">
      <w:pPr>
        <w:shd w:val="clear" w:color="auto" w:fill="FFFFFF"/>
        <w:snapToGrid w:val="0"/>
        <w:spacing w:line="360" w:lineRule="auto"/>
        <w:ind w:right="105" w:rightChars="50" w:firstLine="482" w:firstLineChars="200"/>
        <w:outlineLvl w:val="1"/>
        <w:rPr>
          <w:rFonts w:ascii="宋体" w:hAnsi="宋体" w:cs="_5b8b_4f53"/>
          <w:color w:val="auto"/>
          <w:sz w:val="24"/>
          <w:szCs w:val="24"/>
          <w:highlight w:val="none"/>
        </w:rPr>
      </w:pPr>
      <w:bookmarkStart w:id="97" w:name="_Toc3536"/>
      <w:bookmarkStart w:id="98" w:name="_Toc32664"/>
      <w:r>
        <w:rPr>
          <w:rFonts w:hint="eastAsia" w:ascii="宋体" w:hAnsi="宋体" w:cs="_5b8b_4f53"/>
          <w:b/>
          <w:bCs/>
          <w:color w:val="auto"/>
          <w:sz w:val="24"/>
          <w:szCs w:val="24"/>
          <w:highlight w:val="none"/>
        </w:rPr>
        <w:t>30、</w:t>
      </w:r>
      <w:r>
        <w:rPr>
          <w:rFonts w:hint="eastAsia" w:ascii="宋体" w:hAnsi="宋体" w:cs="宋体"/>
          <w:b/>
          <w:bCs/>
          <w:color w:val="auto"/>
          <w:sz w:val="24"/>
          <w:szCs w:val="24"/>
          <w:highlight w:val="none"/>
        </w:rPr>
        <w:t>合同协议书的签署</w:t>
      </w:r>
      <w:bookmarkEnd w:id="97"/>
      <w:bookmarkEnd w:id="98"/>
    </w:p>
    <w:p w14:paraId="41A11D72">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color w:val="auto"/>
          <w:sz w:val="24"/>
          <w:szCs w:val="24"/>
          <w:highlight w:val="none"/>
        </w:rPr>
        <w:t>30</w:t>
      </w:r>
      <w:r>
        <w:rPr>
          <w:rFonts w:ascii="宋体" w:hAnsi="宋体" w:cs="_5b8b_4f53"/>
          <w:b/>
          <w:color w:val="auto"/>
          <w:sz w:val="24"/>
          <w:szCs w:val="24"/>
          <w:highlight w:val="none"/>
        </w:rPr>
        <w:t>.1</w:t>
      </w:r>
      <w:r>
        <w:rPr>
          <w:rFonts w:hint="eastAsia" w:ascii="宋体" w:hAnsi="宋体" w:cs="宋体"/>
          <w:color w:val="auto"/>
          <w:sz w:val="24"/>
          <w:szCs w:val="24"/>
          <w:highlight w:val="none"/>
        </w:rPr>
        <w:t>采购人与中标供应商将于中标通知书发出之日起</w:t>
      </w:r>
      <w:r>
        <w:rPr>
          <w:rFonts w:hint="eastAsia" w:ascii="宋体" w:hAnsi="宋体" w:cs="_5b8b_4f53"/>
          <w:color w:val="auto"/>
          <w:sz w:val="24"/>
          <w:szCs w:val="24"/>
          <w:highlight w:val="none"/>
          <w:lang w:val="en-US" w:eastAsia="zh-CN"/>
        </w:rPr>
        <w:t>2</w:t>
      </w:r>
      <w:r>
        <w:rPr>
          <w:rFonts w:hint="eastAsia" w:ascii="宋体" w:hAnsi="宋体" w:cs="宋体"/>
          <w:color w:val="auto"/>
          <w:sz w:val="24"/>
          <w:szCs w:val="24"/>
          <w:highlight w:val="none"/>
        </w:rPr>
        <w:t>日内，按照招标文件及中标供应商的投标文件订立书面承包合同，采购人和中标供应商不得再行订立背离合同实质性内容的其他协议。</w:t>
      </w:r>
    </w:p>
    <w:p w14:paraId="7BC0E808">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color w:val="auto"/>
          <w:sz w:val="24"/>
          <w:szCs w:val="24"/>
          <w:highlight w:val="none"/>
        </w:rPr>
        <w:t>30</w:t>
      </w:r>
      <w:r>
        <w:rPr>
          <w:rFonts w:ascii="宋体" w:hAnsi="宋体" w:cs="_5b8b_4f53"/>
          <w:b/>
          <w:color w:val="auto"/>
          <w:sz w:val="24"/>
          <w:szCs w:val="24"/>
          <w:highlight w:val="none"/>
        </w:rPr>
        <w:t>.2</w:t>
      </w:r>
      <w:r>
        <w:rPr>
          <w:rFonts w:hint="eastAsia" w:ascii="宋体" w:hAnsi="宋体" w:cs="宋体"/>
          <w:color w:val="auto"/>
          <w:sz w:val="24"/>
          <w:szCs w:val="24"/>
          <w:highlight w:val="none"/>
        </w:rPr>
        <w:t>中标供应商如不按本投标须知的规定与采购人订立合同，则采购人将废除授标，给采购人造成损失的，应当予以赔偿，同时依法承担相应法律责任。</w:t>
      </w:r>
    </w:p>
    <w:p w14:paraId="6793AAA0">
      <w:pPr>
        <w:shd w:val="clear" w:color="auto" w:fill="FFFFFF"/>
        <w:snapToGrid w:val="0"/>
        <w:spacing w:line="360" w:lineRule="auto"/>
        <w:ind w:right="105" w:rightChars="50" w:firstLine="482" w:firstLineChars="200"/>
        <w:outlineLvl w:val="1"/>
        <w:rPr>
          <w:rFonts w:ascii="宋体" w:hAnsi="宋体" w:cs="_5b8b_4f53"/>
          <w:color w:val="auto"/>
          <w:sz w:val="24"/>
          <w:szCs w:val="24"/>
          <w:highlight w:val="none"/>
        </w:rPr>
      </w:pPr>
      <w:bookmarkStart w:id="99" w:name="_Toc21895"/>
      <w:bookmarkStart w:id="100" w:name="_Toc8775"/>
      <w:r>
        <w:rPr>
          <w:rFonts w:hint="eastAsia" w:ascii="宋体" w:hAnsi="宋体" w:cs="_5b8b_4f53"/>
          <w:b/>
          <w:bCs/>
          <w:color w:val="auto"/>
          <w:sz w:val="24"/>
          <w:szCs w:val="24"/>
          <w:highlight w:val="none"/>
        </w:rPr>
        <w:t>31、</w:t>
      </w:r>
      <w:r>
        <w:rPr>
          <w:rFonts w:hint="eastAsia" w:ascii="宋体" w:hAnsi="宋体" w:cs="宋体"/>
          <w:b/>
          <w:bCs/>
          <w:color w:val="auto"/>
          <w:sz w:val="24"/>
          <w:szCs w:val="24"/>
          <w:highlight w:val="none"/>
        </w:rPr>
        <w:t>履约保证金</w:t>
      </w:r>
      <w:bookmarkEnd w:id="99"/>
      <w:bookmarkEnd w:id="100"/>
    </w:p>
    <w:p w14:paraId="62ACCE9E">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hint="eastAsia" w:ascii="宋体" w:hAnsi="宋体" w:cs="_5b8b_4f53"/>
          <w:b/>
          <w:bCs/>
          <w:color w:val="auto"/>
          <w:sz w:val="24"/>
          <w:szCs w:val="24"/>
          <w:highlight w:val="none"/>
        </w:rPr>
        <w:t>31</w:t>
      </w:r>
      <w:r>
        <w:rPr>
          <w:rFonts w:ascii="宋体" w:hAnsi="宋体" w:cs="_5b8b_4f53"/>
          <w:b/>
          <w:bCs/>
          <w:color w:val="auto"/>
          <w:sz w:val="24"/>
          <w:szCs w:val="24"/>
          <w:highlight w:val="none"/>
        </w:rPr>
        <w:t>.1</w:t>
      </w:r>
      <w:r>
        <w:rPr>
          <w:rFonts w:ascii="宋体" w:hAnsi="宋体" w:cs="_5b8b_4f53"/>
          <w:color w:val="auto"/>
          <w:sz w:val="24"/>
          <w:szCs w:val="24"/>
          <w:highlight w:val="none"/>
        </w:rPr>
        <w:t xml:space="preserve"> </w:t>
      </w:r>
      <w:r>
        <w:rPr>
          <w:rFonts w:hint="eastAsia" w:ascii="宋体" w:hAnsi="宋体" w:cs="宋体"/>
          <w:color w:val="auto"/>
          <w:sz w:val="24"/>
          <w:highlight w:val="none"/>
          <w:lang w:val="en-US" w:eastAsia="zh-CN"/>
        </w:rPr>
        <w:t>本</w:t>
      </w:r>
      <w:r>
        <w:rPr>
          <w:rFonts w:hint="eastAsia" w:ascii="宋体" w:hAnsi="宋体" w:cs="宋体"/>
          <w:color w:val="auto"/>
          <w:sz w:val="24"/>
          <w:highlight w:val="none"/>
        </w:rPr>
        <w:t>项目不收取履约保证金。</w:t>
      </w:r>
    </w:p>
    <w:p w14:paraId="59F5839E">
      <w:pPr>
        <w:shd w:val="clear" w:color="auto" w:fill="FFFFFF"/>
        <w:snapToGrid w:val="0"/>
        <w:spacing w:line="360" w:lineRule="auto"/>
        <w:ind w:right="105" w:rightChars="50" w:firstLine="602" w:firstLineChars="200"/>
        <w:jc w:val="center"/>
        <w:outlineLvl w:val="0"/>
        <w:rPr>
          <w:rFonts w:ascii="宋体" w:hAnsi="宋体" w:cs="_5b8b_4f53"/>
          <w:b/>
          <w:bCs/>
          <w:color w:val="auto"/>
          <w:sz w:val="30"/>
          <w:szCs w:val="30"/>
          <w:highlight w:val="none"/>
        </w:rPr>
      </w:pPr>
      <w:bookmarkStart w:id="101" w:name="_Toc17314"/>
      <w:bookmarkStart w:id="102" w:name="_Toc9632"/>
      <w:r>
        <w:rPr>
          <w:rFonts w:hint="eastAsia" w:ascii="宋体" w:hAnsi="宋体" w:cs="_5b8b_4f53"/>
          <w:b/>
          <w:bCs/>
          <w:color w:val="auto"/>
          <w:sz w:val="30"/>
          <w:szCs w:val="30"/>
          <w:highlight w:val="none"/>
        </w:rPr>
        <w:t>八、其他</w:t>
      </w:r>
      <w:bookmarkEnd w:id="101"/>
      <w:bookmarkEnd w:id="102"/>
    </w:p>
    <w:p w14:paraId="429196E4">
      <w:pPr>
        <w:shd w:val="clear" w:color="auto" w:fill="FFFFFF"/>
        <w:snapToGrid w:val="0"/>
        <w:spacing w:line="360" w:lineRule="auto"/>
        <w:ind w:right="105" w:rightChars="50" w:firstLine="482" w:firstLineChars="200"/>
        <w:rPr>
          <w:rFonts w:ascii="宋体" w:hAnsi="宋体" w:cs="_5b8b_4f53"/>
          <w:color w:val="auto"/>
          <w:sz w:val="24"/>
          <w:szCs w:val="24"/>
          <w:highlight w:val="none"/>
        </w:rPr>
      </w:pPr>
      <w:r>
        <w:rPr>
          <w:rFonts w:ascii="宋体" w:hAnsi="宋体" w:cs="_5b8b_4f53"/>
          <w:b/>
          <w:bCs/>
          <w:color w:val="auto"/>
          <w:sz w:val="24"/>
          <w:szCs w:val="24"/>
          <w:highlight w:val="none"/>
        </w:rPr>
        <w:t>3</w:t>
      </w:r>
      <w:r>
        <w:rPr>
          <w:rFonts w:hint="eastAsia" w:ascii="宋体" w:hAnsi="宋体" w:cs="_5b8b_4f53"/>
          <w:b/>
          <w:bCs/>
          <w:color w:val="auto"/>
          <w:sz w:val="24"/>
          <w:szCs w:val="24"/>
          <w:highlight w:val="none"/>
        </w:rPr>
        <w:t>2、</w:t>
      </w:r>
      <w:r>
        <w:rPr>
          <w:rFonts w:hint="eastAsia" w:ascii="宋体" w:hAnsi="宋体" w:cs="_5b8b_4f53"/>
          <w:color w:val="auto"/>
          <w:sz w:val="24"/>
          <w:szCs w:val="24"/>
          <w:highlight w:val="none"/>
        </w:rPr>
        <w:t>未尽事宜按国家有关规定执行。</w:t>
      </w:r>
    </w:p>
    <w:p w14:paraId="084DFA85">
      <w:pPr>
        <w:shd w:val="clear" w:color="auto" w:fill="FFFFFF"/>
        <w:snapToGrid w:val="0"/>
        <w:spacing w:line="360" w:lineRule="auto"/>
        <w:ind w:right="105" w:rightChars="50" w:firstLine="482" w:firstLineChars="200"/>
        <w:rPr>
          <w:rFonts w:hint="eastAsia" w:ascii="宋体" w:hAnsi="宋体" w:cs="_5b8b_4f53"/>
          <w:color w:val="auto"/>
          <w:sz w:val="24"/>
          <w:szCs w:val="24"/>
          <w:highlight w:val="none"/>
        </w:rPr>
      </w:pPr>
      <w:r>
        <w:rPr>
          <w:rFonts w:ascii="宋体" w:hAnsi="宋体" w:cs="_5b8b_4f53"/>
          <w:b/>
          <w:bCs/>
          <w:color w:val="auto"/>
          <w:sz w:val="24"/>
          <w:szCs w:val="24"/>
          <w:highlight w:val="none"/>
        </w:rPr>
        <w:t>3</w:t>
      </w:r>
      <w:r>
        <w:rPr>
          <w:rFonts w:hint="eastAsia" w:ascii="宋体" w:hAnsi="宋体" w:cs="_5b8b_4f53"/>
          <w:b/>
          <w:bCs/>
          <w:color w:val="auto"/>
          <w:sz w:val="24"/>
          <w:szCs w:val="24"/>
          <w:highlight w:val="none"/>
        </w:rPr>
        <w:t>3、</w:t>
      </w:r>
      <w:r>
        <w:rPr>
          <w:rFonts w:hint="eastAsia" w:ascii="宋体" w:hAnsi="宋体" w:cs="_5b8b_4f53"/>
          <w:color w:val="auto"/>
          <w:sz w:val="24"/>
          <w:szCs w:val="24"/>
          <w:highlight w:val="none"/>
        </w:rPr>
        <w:t>本招标文件最终解释权归采购人。</w:t>
      </w:r>
    </w:p>
    <w:p w14:paraId="766ACD41">
      <w:pPr>
        <w:rPr>
          <w:rFonts w:hint="eastAsia" w:ascii="宋体" w:hAnsi="宋体" w:cs="宋体"/>
          <w:b/>
          <w:bCs/>
          <w:color w:val="auto"/>
          <w:sz w:val="36"/>
          <w:szCs w:val="36"/>
          <w:highlight w:val="none"/>
        </w:rPr>
      </w:pPr>
    </w:p>
    <w:p w14:paraId="6D9EE123">
      <w:pPr>
        <w:rPr>
          <w:rFonts w:hint="eastAsia" w:ascii="宋体" w:hAnsi="宋体" w:cs="宋体"/>
          <w:b/>
          <w:bCs/>
          <w:color w:val="auto"/>
          <w:sz w:val="36"/>
          <w:szCs w:val="36"/>
          <w:highlight w:val="none"/>
        </w:rPr>
        <w:sectPr>
          <w:footerReference r:id="rId5" w:type="default"/>
          <w:pgSz w:w="11906" w:h="16838"/>
          <w:pgMar w:top="1440" w:right="1800" w:bottom="1440" w:left="1800" w:header="851" w:footer="992" w:gutter="0"/>
          <w:pgNumType w:fmt="decimal" w:start="1"/>
          <w:cols w:space="0" w:num="1"/>
          <w:rtlGutter w:val="0"/>
          <w:docGrid w:type="lines" w:linePitch="312" w:charSpace="0"/>
        </w:sectPr>
      </w:pPr>
      <w:r>
        <w:rPr>
          <w:rFonts w:hint="eastAsia" w:ascii="宋体" w:hAnsi="宋体" w:cs="宋体"/>
          <w:b/>
          <w:bCs/>
          <w:color w:val="auto"/>
          <w:sz w:val="36"/>
          <w:szCs w:val="36"/>
          <w:highlight w:val="none"/>
        </w:rPr>
        <w:br w:type="page"/>
      </w:r>
    </w:p>
    <w:p w14:paraId="370CA698">
      <w:pPr>
        <w:shd w:val="clear" w:color="auto" w:fill="FFFFFF"/>
        <w:snapToGrid w:val="0"/>
        <w:spacing w:line="360" w:lineRule="auto"/>
        <w:ind w:right="105" w:rightChars="50"/>
        <w:jc w:val="center"/>
        <w:outlineLvl w:val="0"/>
        <w:rPr>
          <w:rFonts w:hint="default" w:ascii="宋体" w:hAnsi="宋体" w:eastAsia="宋体" w:cs="宋体"/>
          <w:color w:val="auto"/>
          <w:sz w:val="31"/>
          <w:szCs w:val="31"/>
          <w:highlight w:val="none"/>
          <w:lang w:val="en-US"/>
        </w:rPr>
      </w:pPr>
      <w:bookmarkStart w:id="103" w:name="_Toc22923"/>
      <w:r>
        <w:rPr>
          <w:rFonts w:hint="eastAsia" w:ascii="宋体" w:hAnsi="宋体" w:cs="宋体"/>
          <w:b/>
          <w:bCs/>
          <w:color w:val="auto"/>
          <w:sz w:val="36"/>
          <w:szCs w:val="36"/>
          <w:highlight w:val="none"/>
        </w:rPr>
        <w:t>第三章</w:t>
      </w:r>
      <w:r>
        <w:rPr>
          <w:rFonts w:ascii="宋体" w:hAnsi="宋体" w:cs="宋体"/>
          <w:b/>
          <w:bCs/>
          <w:color w:val="auto"/>
          <w:sz w:val="36"/>
          <w:szCs w:val="36"/>
          <w:highlight w:val="none"/>
        </w:rPr>
        <w:t xml:space="preserve">  </w:t>
      </w:r>
      <w:r>
        <w:rPr>
          <w:rFonts w:hint="eastAsia" w:ascii="宋体" w:hAnsi="宋体" w:cs="宋体"/>
          <w:b/>
          <w:bCs/>
          <w:color w:val="auto"/>
          <w:sz w:val="36"/>
          <w:szCs w:val="36"/>
          <w:highlight w:val="none"/>
          <w:lang w:val="en-US" w:eastAsia="zh-CN"/>
        </w:rPr>
        <w:t>技术参数</w:t>
      </w:r>
      <w:bookmarkEnd w:id="103"/>
    </w:p>
    <w:p w14:paraId="398C3A9B">
      <w:pPr>
        <w:spacing w:line="74" w:lineRule="exact"/>
        <w:rPr>
          <w:color w:val="auto"/>
          <w:highlight w:val="none"/>
        </w:rPr>
      </w:pPr>
    </w:p>
    <w:p w14:paraId="251574AB">
      <w:pPr>
        <w:spacing w:line="74" w:lineRule="exact"/>
        <w:rPr>
          <w:color w:val="auto"/>
          <w:highlight w:val="none"/>
        </w:rPr>
      </w:pPr>
    </w:p>
    <w:tbl>
      <w:tblPr>
        <w:tblStyle w:val="18"/>
        <w:tblW w:w="14537" w:type="dxa"/>
        <w:tblInd w:w="93" w:type="dxa"/>
        <w:tblLayout w:type="autofit"/>
        <w:tblCellMar>
          <w:top w:w="0" w:type="dxa"/>
          <w:left w:w="108" w:type="dxa"/>
          <w:bottom w:w="0" w:type="dxa"/>
          <w:right w:w="108" w:type="dxa"/>
        </w:tblCellMar>
      </w:tblPr>
      <w:tblGrid>
        <w:gridCol w:w="1031"/>
        <w:gridCol w:w="4001"/>
        <w:gridCol w:w="7443"/>
        <w:gridCol w:w="1031"/>
        <w:gridCol w:w="1031"/>
      </w:tblGrid>
      <w:tr w14:paraId="0E80E287">
        <w:tblPrEx>
          <w:tblCellMar>
            <w:top w:w="0" w:type="dxa"/>
            <w:left w:w="108" w:type="dxa"/>
            <w:bottom w:w="0" w:type="dxa"/>
            <w:right w:w="108" w:type="dxa"/>
          </w:tblCellMar>
        </w:tblPrEx>
        <w:trPr>
          <w:trHeight w:val="290"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99C89">
            <w:pPr>
              <w:widowControl/>
              <w:ind w:firstLine="241" w:firstLineChars="100"/>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序号</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1A7F">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设备名称</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0551A">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设备参数</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D8D8E">
            <w:pPr>
              <w:widowControl/>
              <w:ind w:firstLine="241" w:firstLineChars="100"/>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单位</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4285">
            <w:pPr>
              <w:widowControl/>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数量</w:t>
            </w:r>
          </w:p>
        </w:tc>
      </w:tr>
      <w:tr w14:paraId="0A1F09B5">
        <w:tblPrEx>
          <w:tblCellMar>
            <w:top w:w="0" w:type="dxa"/>
            <w:left w:w="108" w:type="dxa"/>
            <w:bottom w:w="0" w:type="dxa"/>
            <w:right w:w="108" w:type="dxa"/>
          </w:tblCellMar>
        </w:tblPrEx>
        <w:trPr>
          <w:trHeight w:val="290"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126A">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一</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216EC">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高速动态称重系统</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07DF">
            <w:pPr>
              <w:jc w:val="left"/>
              <w:rPr>
                <w:rFonts w:ascii="宋体" w:hAnsi="宋体" w:cs="宋体"/>
                <w:color w:val="auto"/>
                <w:sz w:val="24"/>
                <w:szCs w:val="24"/>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B477">
            <w:pPr>
              <w:jc w:val="left"/>
              <w:rPr>
                <w:rFonts w:ascii="宋体" w:hAnsi="宋体" w:cs="宋体"/>
                <w:color w:val="auto"/>
                <w:sz w:val="24"/>
                <w:szCs w:val="24"/>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FF822">
            <w:pPr>
              <w:jc w:val="left"/>
              <w:rPr>
                <w:rFonts w:ascii="宋体" w:hAnsi="宋体" w:cs="宋体"/>
                <w:color w:val="auto"/>
                <w:sz w:val="24"/>
                <w:szCs w:val="24"/>
                <w:highlight w:val="none"/>
              </w:rPr>
            </w:pPr>
          </w:p>
        </w:tc>
      </w:tr>
      <w:tr w14:paraId="0F8BAA1D">
        <w:tblPrEx>
          <w:tblCellMar>
            <w:top w:w="0" w:type="dxa"/>
            <w:left w:w="108" w:type="dxa"/>
            <w:bottom w:w="0" w:type="dxa"/>
            <w:right w:w="108" w:type="dxa"/>
          </w:tblCellMar>
        </w:tblPrEx>
        <w:trPr>
          <w:trHeight w:val="5350"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1C5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F0A0E">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石英称重传感器</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1AD47">
            <w:pPr>
              <w:widowControl/>
              <w:jc w:val="left"/>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 xml:space="preserve">速度范围：0.5～100km/h；       动态称重等级：5级；          </w:t>
            </w:r>
          </w:p>
          <w:p w14:paraId="2C514FBD">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 xml:space="preserve"> 总重误差范围：≤±5%；</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轴重误差范围：≤±10%；        速度误差：≤1km/h；</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单轴额定载荷：≥30T；        最大过载能力：150%；</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灵敏度：-1.54±7% PC/N；      横向误差：＜±3％；</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传感器截面尺寸：55mm×55mm（±8mm）；</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传感器长度：0.75m、1m、1.5m、1.75m、2m；</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工作温度范围：-45℃～80℃；</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在温度-20℃，气压61.5kPa(13.5KFT)状态下，可正常工作；</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绝缘电阻：＞1×10</w:t>
            </w:r>
            <w:r>
              <w:rPr>
                <w:rFonts w:hint="eastAsia" w:ascii="宋体" w:hAnsi="宋体" w:cs="宋体"/>
                <w:color w:val="auto"/>
                <w:kern w:val="0"/>
                <w:sz w:val="24"/>
                <w:szCs w:val="24"/>
                <w:highlight w:val="none"/>
                <w:vertAlign w:val="superscript"/>
                <w:lang w:bidi="ar"/>
              </w:rPr>
              <w:t>10</w:t>
            </w:r>
            <w:r>
              <w:rPr>
                <w:rFonts w:hint="eastAsia" w:ascii="宋体" w:hAnsi="宋体" w:cs="宋体"/>
                <w:color w:val="auto"/>
                <w:kern w:val="0"/>
                <w:sz w:val="24"/>
                <w:szCs w:val="24"/>
                <w:highlight w:val="none"/>
                <w:lang w:bidi="ar"/>
              </w:rPr>
              <w:t>Ω；</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使用寿命：≥1亿轴次；</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防护等级：IP68；</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线性度:≤±1%</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重复性:≤±1%</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横向一致性:&lt;1%</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温度系数:-0.02%/℃</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综合精度: ≤±2.5%</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传感器直线度误差:&lt;2mm/m</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CE26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71E20">
            <w:pPr>
              <w:widowControl/>
              <w:ind w:firstLine="240" w:firstLineChars="100"/>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64</w:t>
            </w:r>
          </w:p>
        </w:tc>
      </w:tr>
      <w:tr w14:paraId="055CB631">
        <w:tblPrEx>
          <w:tblCellMar>
            <w:top w:w="0" w:type="dxa"/>
            <w:left w:w="108" w:type="dxa"/>
            <w:bottom w:w="0" w:type="dxa"/>
            <w:right w:w="108" w:type="dxa"/>
          </w:tblCellMar>
        </w:tblPrEx>
        <w:trPr>
          <w:trHeight w:val="571"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9D101">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159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称重控制器（称重显示器）</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1001">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速度范围：0.5～100km/h；</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数据存储空间：1M Byte；</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数据存储：可存储多达400000条的车辆信息数据；</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工作温度范围：-20℃～70℃；</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在温度-20℃，气压61.5kPa(13.5KFT)状态下，可正常工作；</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相对湿度：0～95%RH；</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工作电压：AC 220V；</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数据接口：RJ45网络接口</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通信速率：9600bps；</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MTBF≥30000h；</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检测精度：动态5级；</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输入通道数：64路；</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采用7″TFT彩色液晶触摸屏；</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具有内置显示装置与按键操作功能；</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铝合金外壳，采用机架式结构，自由扩展；</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采集模块采用高速AD+8通道DSP+RAM架构；</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具有故障自检功能以及对称重传感器的故障诊断功能；</w:t>
            </w:r>
            <w:r>
              <w:rPr>
                <w:rFonts w:hint="eastAsia" w:ascii="宋体" w:hAnsi="宋体" w:cs="宋体"/>
                <w:color w:val="auto"/>
                <w:kern w:val="0"/>
                <w:sz w:val="24"/>
                <w:szCs w:val="24"/>
                <w:highlight w:val="none"/>
                <w:lang w:bidi="ar"/>
              </w:rPr>
              <w:br w:type="textWrapping"/>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BE182">
            <w:pPr>
              <w:widowControl/>
              <w:ind w:firstLine="240" w:firstLineChars="100"/>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72ED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r>
      <w:tr w14:paraId="5ADB4A45">
        <w:tblPrEx>
          <w:tblCellMar>
            <w:top w:w="0" w:type="dxa"/>
            <w:left w:w="108" w:type="dxa"/>
            <w:bottom w:w="0" w:type="dxa"/>
            <w:right w:w="108" w:type="dxa"/>
          </w:tblCellMar>
        </w:tblPrEx>
        <w:trPr>
          <w:trHeight w:val="4920"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61F3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3</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92BC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电荷放大器</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6DBB">
            <w:pPr>
              <w:widowControl/>
              <w:jc w:val="left"/>
              <w:textAlignment w:val="cente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通道：8路；</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测量范围：±60000PC；</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误差范围：≤±0.1%；</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输出电压：0～±5V；</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输出电流：0～±2mA；</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输出阻抗：100Ω；</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频率范围（3db）：≈0.01～&gt;10kHZ；</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时间常数：≈100s；</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供电电压：DC15～30V；</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供电电流：&lt;25mA；</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工作温度范围：-20℃～70℃；</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在温度-20℃，气压61.5kPa(13.5KFT)状态下，可正常工作；</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震动阻力：10gp；</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防护等级：IP65；</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E86D1">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6D738">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w:t>
            </w:r>
          </w:p>
        </w:tc>
      </w:tr>
      <w:tr w14:paraId="5FFE8F19">
        <w:tblPrEx>
          <w:tblCellMar>
            <w:top w:w="0" w:type="dxa"/>
            <w:left w:w="108" w:type="dxa"/>
            <w:bottom w:w="0" w:type="dxa"/>
            <w:right w:w="108" w:type="dxa"/>
          </w:tblCellMar>
        </w:tblPrEx>
        <w:trPr>
          <w:trHeight w:val="1364"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D2B7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9F588">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车检器</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D592B">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尺寸：适用于普通车道和紧急车道；</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导线规格：多芯镀银导线；</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线圈安装方式：埋入路面下，环氧树脂灌封；</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温度范围：-45℃～+80℃，湿度范围：0～99%；</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9CA4">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00722">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r>
      <w:tr w14:paraId="503976F2">
        <w:tblPrEx>
          <w:tblCellMar>
            <w:top w:w="0" w:type="dxa"/>
            <w:left w:w="108" w:type="dxa"/>
            <w:bottom w:w="0" w:type="dxa"/>
            <w:right w:w="108" w:type="dxa"/>
          </w:tblCellMar>
        </w:tblPrEx>
        <w:trPr>
          <w:trHeight w:val="1465"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4939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5</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E13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线圈</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5D605">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线圈电感量：20mH～1500mH；</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速度检测范围：1～200km/h；</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线圈在车距不小于2m时，正确分车的精度&gt;99%；</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电缆长度：50m(可扩展到150m)；</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频率范围：20～200KHz。</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04BE4">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C4E02">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w:t>
            </w:r>
          </w:p>
        </w:tc>
      </w:tr>
      <w:tr w14:paraId="6AE6B6D2">
        <w:tblPrEx>
          <w:tblCellMar>
            <w:top w:w="0" w:type="dxa"/>
            <w:left w:w="108" w:type="dxa"/>
            <w:bottom w:w="0" w:type="dxa"/>
            <w:right w:w="108" w:type="dxa"/>
          </w:tblCellMar>
        </w:tblPrEx>
        <w:trPr>
          <w:trHeight w:val="1465"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5020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6</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C61E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安装胶</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7339">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成份：A组份 透明色液体，B组份 棕黄色液体， C组份 灰色石英粉料</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23℃可操作时间）：20-30分钟;</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23℃固化时间： 6-8小时</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安装胶固化后7天后，抗压强度≥120MPa;抗折强度大于40MPa。</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23F6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72943">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96</w:t>
            </w:r>
          </w:p>
        </w:tc>
      </w:tr>
      <w:tr w14:paraId="087CFF45">
        <w:tblPrEx>
          <w:tblCellMar>
            <w:top w:w="0" w:type="dxa"/>
            <w:left w:w="108" w:type="dxa"/>
            <w:bottom w:w="0" w:type="dxa"/>
            <w:right w:w="108" w:type="dxa"/>
          </w:tblCellMar>
        </w:tblPrEx>
        <w:trPr>
          <w:trHeight w:val="2342"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07B12">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7</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E20D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电气柜</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F37B2">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外形尺寸：≥1550mm×700mm×780mm；</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供电电源：AC220±5%；</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具有防雷、防浪涌冲击装置；</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内置恒温温控系统，配备轴流风机，防止机柜内温度过高造成系统“死机”；</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采用防盗门锁，门缝包边防护，带防水顶盖，具有防雨能力；</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5BBD">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444B6">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r>
      <w:tr w14:paraId="73C3E75A">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9A50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8</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BCDE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电气柜防护栏</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467A">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不锈钢防护栏</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78033">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E021D">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r>
      <w:tr w14:paraId="4815AAA4">
        <w:tblPrEx>
          <w:tblCellMar>
            <w:top w:w="0" w:type="dxa"/>
            <w:left w:w="108" w:type="dxa"/>
            <w:bottom w:w="0" w:type="dxa"/>
            <w:right w:w="108" w:type="dxa"/>
          </w:tblCellMar>
        </w:tblPrEx>
        <w:trPr>
          <w:trHeight w:val="233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F5936">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9</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4DA6">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ups电源</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5BBC3">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UPS类型：在线式</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额定功率：3000W</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电池电压：12V×N节</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输入电压范围：115-300V</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输入频率范围：40-60Hz</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输出电压范围：220（1±2%）V</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输出频率范围：与输入同步〔市电模式〕，当市电频率超出(46~54)Hz范围时，输出频率为50×(1±0.2%）Hz</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0F53D">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D175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r>
      <w:tr w14:paraId="2FA006BD">
        <w:tblPrEx>
          <w:tblCellMar>
            <w:top w:w="0" w:type="dxa"/>
            <w:left w:w="108" w:type="dxa"/>
            <w:bottom w:w="0" w:type="dxa"/>
            <w:right w:w="108" w:type="dxa"/>
          </w:tblCellMar>
        </w:tblPrEx>
        <w:trPr>
          <w:trHeight w:val="41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03258">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10</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8087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称重系统采集软件</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AE8A0">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采集软件采用C/S架构(客户端/服务器模式)进行构建。</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工控机上电，软件随系统自动运行，数据在本地数据库存储备份，当网络或中心由异常恢复正常时，可以及时进行系统、应用和数据库复传。</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1.显示模块：</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1)实时采集前端称重设备获取的称重信息、车辆抓拍设备获取的车辆图片及视频信息，外轮廓尺寸信息并存储匹配，合成实时过车参数表并显示。</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2)提供最新检测的超载车辆单独列表显示，信息包含：序号,车牌号码,车牌颜色，总重值，限重值，超重值，轴数，检测站名称，车道方向，速度，时间，超限次数，长度值，宽度值，高度值，车型。</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3)可查看车辆详细信息状态包含：车辆车头图片，车尾图片，车身图片，车牌图片，各轴轴重，各轴间距值等详细车辆信息。</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2.参数设置模块：1)密码保护，核心设置需要密码进入保护参数安全</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2)系统参数设置，具有抓拍设置，日志及文件，超限判断标准，车辆过滤条件，重量检测类别，实时监测无车牌超限车辆，清理内存，语言，超限报警，白名单功能。3)支持超限车辆大屏提示功能，将超限车辆信息实时传输到可变情报板上进行显示和发布，对超限车辆予以提示引导。</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4)支持检测站参数设置，可修改检测点编号，检测站名称，车重与车牌，匹配延时时间。5)支持仪表通过网络或串口通讯方式进行数据传输。</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6)支持超限标准参数设置，默认根据交通运输部超限标准可根据客户特别要求自行调整超限参数。7)支持外接报警外设，超限车辆自动报警输出。</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8)支持接入匹配外轮廓尺寸设备数据。9)支持数据库参数设置。</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3.数据上传模块：</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1)支持将站点数据，图片和视频上传到管理中心进行统一管理，支持多路上。2)支持过期数据自动定时内存清除，无人值守运行。</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3)支持抓拍图片防伪水印叠加，每幅图片上包含车辆号牌，检测时间，违法地点，图像取证编号，防伪信息，车速，车辆总质量等信息。</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4.自检及日志</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1)软件系统自动记录系统运行日志，清晰罗列系统运行过程，包括设备日志和软件日志。</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2)对所有连接设备的状态具有自检功能，可快速、准确定位系统异常设备并上报设备状态信息。</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3)具有软件自启动，异常自动恢复，断网自动续传功能，保证全时段无人值守运行。</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B0FAE">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5399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r>
      <w:tr w14:paraId="6BA1CED3">
        <w:tblPrEx>
          <w:tblCellMar>
            <w:top w:w="0" w:type="dxa"/>
            <w:left w:w="108" w:type="dxa"/>
            <w:bottom w:w="0" w:type="dxa"/>
            <w:right w:w="108" w:type="dxa"/>
          </w:tblCellMar>
        </w:tblPrEx>
        <w:trPr>
          <w:trHeight w:val="886"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F5E3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11</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F6BB5">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异常行驶检测识别分析软件</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3C9E9">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针对车辆的异常行驶行为进行检测与识别，形成异常行驶行为的判断结果。</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异常行驶行为的车辆进一步修正、完善轴重测量曲线、优化称重结果。</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AA3D">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0C1A6">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r>
      <w:tr w14:paraId="1849B817">
        <w:tblPrEx>
          <w:tblCellMar>
            <w:top w:w="0" w:type="dxa"/>
            <w:left w:w="108" w:type="dxa"/>
            <w:bottom w:w="0" w:type="dxa"/>
            <w:right w:w="108" w:type="dxa"/>
          </w:tblCellMar>
        </w:tblPrEx>
        <w:trPr>
          <w:trHeight w:val="597"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6678">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11</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FE023">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超限信息传输服务系统</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70B1">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提供平台对接标准接口，提供情报板标准控制卡对接接口，与抓拍监控等外围系统数据对接；工控机现场数据、视频、图片的传输控制。</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DDED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A9BD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r>
      <w:tr w14:paraId="06C11384">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FF2E">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二</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563BA">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车牌识别抓拍系统</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F8C24">
            <w:pPr>
              <w:jc w:val="center"/>
              <w:rPr>
                <w:rFonts w:ascii="宋体" w:hAnsi="宋体" w:cs="宋体"/>
                <w:b/>
                <w:bCs/>
                <w:color w:val="auto"/>
                <w:sz w:val="24"/>
                <w:szCs w:val="24"/>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03C69">
            <w:pPr>
              <w:jc w:val="center"/>
              <w:rPr>
                <w:rFonts w:ascii="宋体" w:hAnsi="宋体" w:cs="宋体"/>
                <w:b/>
                <w:bCs/>
                <w:color w:val="auto"/>
                <w:sz w:val="24"/>
                <w:szCs w:val="24"/>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A613B">
            <w:pPr>
              <w:jc w:val="center"/>
              <w:rPr>
                <w:rFonts w:ascii="宋体" w:hAnsi="宋体" w:cs="宋体"/>
                <w:b/>
                <w:bCs/>
                <w:color w:val="auto"/>
                <w:sz w:val="24"/>
                <w:szCs w:val="24"/>
                <w:highlight w:val="none"/>
              </w:rPr>
            </w:pPr>
          </w:p>
        </w:tc>
      </w:tr>
      <w:tr w14:paraId="1BEA39D9">
        <w:tblPrEx>
          <w:tblCellMar>
            <w:top w:w="0" w:type="dxa"/>
            <w:left w:w="108" w:type="dxa"/>
            <w:bottom w:w="0" w:type="dxa"/>
            <w:right w:w="108" w:type="dxa"/>
          </w:tblCellMar>
        </w:tblPrEx>
        <w:trPr>
          <w:trHeight w:val="4936"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64D4">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6E37E">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高清车牌抓拍摄像机</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47BE">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包含高清一体化嵌入式摄像机、高清镜头、室外防护罩、相机内置网络信号防雷器、电源适配器等</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图像传感器：采用1英寸GMOS</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设备应采用深度学习芯片</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视频帧率：在1～25fps可调</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视频压缩支持H.265、H.264、M-JPEG</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外壳防护等级应不低于IP66</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支持车辆捕获抓拍功能，在天气晴朗无雾，号牌无遮挡、无污损，白天环境光照度不低于200lx，晚上辅助光照度不高于30lx的条件下测试，白天和晚上的捕获率均≥99%</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支持车牌识别功能，在天气晴朗无雾，号牌无遮挡、无污损，白天环境光照度不低于200lx，晚上辅助光照度不高于30lx的条件下测试，白天和晚上的识别准确率均≥99%</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设备可识别351种机动车品牌标志，白天识别准确率≥99%，夜晚识别准确率≥99%。</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支持人体检测、跟踪、抓拍，支持正面、背面抓拍，抓拍率≥99%；在同一个视频画面中，最多可同时检测100个运动人体目标；</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71E3D">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FD85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w:t>
            </w:r>
          </w:p>
        </w:tc>
      </w:tr>
      <w:tr w14:paraId="3E0C8167">
        <w:tblPrEx>
          <w:tblCellMar>
            <w:top w:w="0" w:type="dxa"/>
            <w:left w:w="108" w:type="dxa"/>
            <w:bottom w:w="0" w:type="dxa"/>
            <w:right w:w="108" w:type="dxa"/>
          </w:tblCellMar>
        </w:tblPrEx>
        <w:trPr>
          <w:trHeight w:val="4936"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A09E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BCFF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高清车尾抓拍摄像机</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63523">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包含高清一体化嵌入式摄像机、高清镜头、室外防护罩、相机内置网络信号防雷器、电源适配器等</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图像传感器：采用1英寸GMOS</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设备应采用深度学习芯片</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视频帧率：在1～25fps可调</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视频压缩支持H.265、H.264、M-JPEG</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外壳防护等级应不低于IP66</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支持车辆捕获抓拍功能，在天气晴朗无雾，号牌无遮挡、无污损，白天环境光照度不低于200lx，晚上辅助光照度不高于30lx的条件下测试，白天和晚上的捕获率均≥99%</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支持车牌识别功能，在天气晴朗无雾，号牌无遮挡、无污损，白天环境光照度不低于200lx，晚上辅助光照度不高于30lx的条件下测试，白天和晚上的识别准确率均≥99%</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设备可识别351种机动车品牌标志，白天识别准确率≥99%，夜晚识别准确率≥99%。</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支持人体检测、跟踪、抓拍，支持正面、背面抓拍，抓拍率≥99%；在同一个视频画面中，最多可同时检测100个运动人体目标；</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1439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B342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r>
      <w:tr w14:paraId="2CC42D3D">
        <w:tblPrEx>
          <w:tblCellMar>
            <w:top w:w="0" w:type="dxa"/>
            <w:left w:w="108" w:type="dxa"/>
            <w:bottom w:w="0" w:type="dxa"/>
            <w:right w:w="108" w:type="dxa"/>
          </w:tblCellMar>
        </w:tblPrEx>
        <w:trPr>
          <w:trHeight w:val="4936"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1FF8">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3</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00E83">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高清车身抓拍摄像机</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991E2">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包含高清一体化嵌入式摄像机、高清镜头、室外防护罩、相机内置网络信号防雷器、电源适配器等</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图像传感器：采用1英寸GMOS</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设备应采用深度学习芯片</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视频帧率：在1～25fps可调</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视频压缩支持H.265、H.264、M-JPEG</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外壳防护等级应不低于IP66</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支持车辆捕获抓拍功能，在天气晴朗无雾，号牌无遮挡、无污损，白天环境光照度不低于200lx，晚上辅助光照度不高于30lx的条件下测试，白天和晚上的捕获率均≥99%</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支持车牌识别功能，在天气晴朗无雾，号牌无遮挡、无污损，白天环境光照度不低于200lx，晚上辅助光照度不高于30lx的条件下测试，白天和晚上的识别准确率均≥99%</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设备可识别351种机动车品牌标志，白天识别准确率≥99%，夜晚识别准确率≥99%。</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支持人体检测、跟踪、抓拍，支持正面、背面抓拍，抓拍率≥99%；在同一个视频画面中，最多可同时检测100个运动人体目标；</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E4553">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639C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w:t>
            </w:r>
          </w:p>
        </w:tc>
      </w:tr>
      <w:tr w14:paraId="04961984">
        <w:tblPrEx>
          <w:tblCellMar>
            <w:top w:w="0" w:type="dxa"/>
            <w:left w:w="108" w:type="dxa"/>
            <w:bottom w:w="0" w:type="dxa"/>
            <w:right w:w="108" w:type="dxa"/>
          </w:tblCellMar>
        </w:tblPrEx>
        <w:trPr>
          <w:trHeight w:val="2911"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46BD">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EA8B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补光设备（爆闪灯）</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C19AD">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单次闪光能量≥200J；</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色温≥4000K；</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支持5V电平量触发(可选开关量)，</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闪光次数≥2000万次；</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有效补光距离16m～25m；</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1路RS485接口、1路爆闪输入接口</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回电时间应≤50ms</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最大功耗＜300W</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在-30℃~70℃温度范围内均能正常工作</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防护等级IP66</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1D27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43084">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12</w:t>
            </w:r>
          </w:p>
        </w:tc>
      </w:tr>
      <w:tr w14:paraId="14C004FB">
        <w:tblPrEx>
          <w:tblCellMar>
            <w:top w:w="0" w:type="dxa"/>
            <w:left w:w="108" w:type="dxa"/>
            <w:bottom w:w="0" w:type="dxa"/>
            <w:right w:w="108" w:type="dxa"/>
          </w:tblCellMar>
        </w:tblPrEx>
        <w:trPr>
          <w:trHeight w:val="1075"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D7D1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5</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4FEF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补光设备（常亮）</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77174">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LED颗数：16颗</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LED：原装CREE</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光源效率：120 LM/W</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总光通量：2880Lm</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色温：3000K-4000K</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显色指数＞80Ra</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支持可拆卸式防眩光格栅装置</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支持通过远程平台控制频闪方式，脉冲方式，持支持远程平台对补光装置进行功率，温度，工作状态检测</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 1 路 RJ45 网络接口，1 路RS485,1路电平信号频闪控制接口，1路开关信号频闪控制接口，1路常亮切换开关控制接口</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发光方式：频闪方式，脉冲方式或持续点亮方式</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工作电压：AC86V-AC260V 50HZ，范围内变化时，补光装置应能正常工作</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材 料：铝合金、钢化玻璃</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防护等级：IP68</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工作温度：-40±3℃～85±2℃</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工作环境湿度：10%～90%RH</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8297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A6D4E">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w:t>
            </w:r>
          </w:p>
        </w:tc>
      </w:tr>
      <w:tr w14:paraId="3199559C">
        <w:tblPrEx>
          <w:tblCellMar>
            <w:top w:w="0" w:type="dxa"/>
            <w:left w:w="108" w:type="dxa"/>
            <w:bottom w:w="0" w:type="dxa"/>
            <w:right w:w="108" w:type="dxa"/>
          </w:tblCellMar>
        </w:tblPrEx>
        <w:trPr>
          <w:trHeight w:val="597"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BDB24">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6</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2B246">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抓拍杆件（门架）</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D1C4">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杆高最底端高6.5米；立柱采用热浸镀锌喷塑处理，镀锌厚度不小于270g/m2，喷塑厚度不小于0.076mm；</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517B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C49D6">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r>
      <w:tr w14:paraId="5382DF31">
        <w:tblPrEx>
          <w:tblCellMar>
            <w:top w:w="0" w:type="dxa"/>
            <w:left w:w="108" w:type="dxa"/>
            <w:bottom w:w="0" w:type="dxa"/>
            <w:right w:w="108" w:type="dxa"/>
          </w:tblCellMar>
        </w:tblPrEx>
        <w:trPr>
          <w:trHeight w:val="597"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6045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7</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20A3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交换机</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0D83">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端口数：8个；</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交换机传输速率：10/100/1000Mbps。</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4E81">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E84A2">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r>
      <w:tr w14:paraId="5217C324">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9385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8</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2E62">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配电机箱</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0680">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尺寸：200*400*500，防水防尘，内置空开，防雷，接线端子。</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80602">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B83A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r>
      <w:tr w14:paraId="5CD0C279">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60B93">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三</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FBE4">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视频监控系统</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A2C7A">
            <w:pPr>
              <w:jc w:val="center"/>
              <w:rPr>
                <w:rFonts w:ascii="宋体" w:hAnsi="宋体" w:cs="宋体"/>
                <w:b/>
                <w:bCs/>
                <w:color w:val="auto"/>
                <w:sz w:val="24"/>
                <w:szCs w:val="24"/>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90536">
            <w:pPr>
              <w:jc w:val="center"/>
              <w:rPr>
                <w:rFonts w:ascii="宋体" w:hAnsi="宋体" w:cs="宋体"/>
                <w:b/>
                <w:bCs/>
                <w:color w:val="auto"/>
                <w:sz w:val="24"/>
                <w:szCs w:val="24"/>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9A7A1">
            <w:pPr>
              <w:jc w:val="center"/>
              <w:rPr>
                <w:rFonts w:ascii="宋体" w:hAnsi="宋体" w:cs="宋体"/>
                <w:b/>
                <w:bCs/>
                <w:color w:val="auto"/>
                <w:sz w:val="24"/>
                <w:szCs w:val="24"/>
                <w:highlight w:val="none"/>
              </w:rPr>
            </w:pPr>
          </w:p>
        </w:tc>
      </w:tr>
      <w:tr w14:paraId="1DB36989">
        <w:tblPrEx>
          <w:tblCellMar>
            <w:top w:w="0" w:type="dxa"/>
            <w:left w:w="108" w:type="dxa"/>
            <w:bottom w:w="0" w:type="dxa"/>
            <w:right w:w="108" w:type="dxa"/>
          </w:tblCellMar>
        </w:tblPrEx>
        <w:trPr>
          <w:trHeight w:val="7250"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186E1">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0474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高清球形摄像机</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BF51E">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摄像机靶面尺寸不小于1/1.8英寸</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内置GPU芯片</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支持5路码流同时输出，支持同时输出不少于2路高清视频图像，高清视频图像分辨率与帧率不小于2560×1440、60帧/s</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支持25倍光学变倍</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支持最低照度可达彩色0.0002 lx，黑白0.0001 lx</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摄像机宽动态范围不小于120dB</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红外距离不小于550米</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支持快速聚焦功能，当设备跟踪行人或机动车等移动目标并录像时，单帧回放录像文件，每1帧画面均应清晰可见。</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支持水平手控速度不小于800°/S，垂直手控速度不小于300°/s。水平旋转范围为360°连续旋转，垂直旋转范围为-20°~90°</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支持300个预置位，可按照所设置的预置位完成不小于8条巡航路径，每条巡航路径可设置不小于32个预置点。</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设备运动结束静止时，其水平和垂直角度方向受到外力作用发生偏移时，能够检测角度改变并产生报警信息，报警信息可在OSD上叠加。</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设备具备偏移自动校正功能。设备运动结束静止时，其水平和垂直角度方向受到外力作用发生偏移时，水平和垂直角度方向均可以自动恢复到偏移前的位置。</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支持7路报警输入接口，2路报警输出接口，支持1路音频输入和输出接口。最大支持512GB的SD卡。</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室外球机应具备较好防护性能，支持IP67；具备较好的电磁兼容性，支持空气放电20KV，接触放电10KV，15KV防浪涌。</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具备较好的电源适应性，电压在AC24V±47%或DC24V±47%范围内变化时，设备可正常工作。</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756D1">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A5E6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r>
      <w:tr w14:paraId="2FFFAA2C">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46C63">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四</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ECD9D">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信息发布系统</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2A3A1">
            <w:pPr>
              <w:jc w:val="center"/>
              <w:rPr>
                <w:rFonts w:ascii="宋体" w:hAnsi="宋体" w:cs="宋体"/>
                <w:b/>
                <w:bCs/>
                <w:color w:val="auto"/>
                <w:sz w:val="24"/>
                <w:szCs w:val="24"/>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C15AE">
            <w:pPr>
              <w:jc w:val="center"/>
              <w:rPr>
                <w:rFonts w:ascii="宋体" w:hAnsi="宋体" w:cs="宋体"/>
                <w:b/>
                <w:bCs/>
                <w:color w:val="auto"/>
                <w:sz w:val="24"/>
                <w:szCs w:val="24"/>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884E8">
            <w:pPr>
              <w:jc w:val="center"/>
              <w:rPr>
                <w:rFonts w:ascii="宋体" w:hAnsi="宋体" w:cs="宋体"/>
                <w:b/>
                <w:bCs/>
                <w:color w:val="auto"/>
                <w:sz w:val="24"/>
                <w:szCs w:val="24"/>
                <w:highlight w:val="none"/>
              </w:rPr>
            </w:pPr>
          </w:p>
        </w:tc>
      </w:tr>
      <w:tr w14:paraId="7C3FCEFF">
        <w:tblPrEx>
          <w:tblCellMar>
            <w:top w:w="0" w:type="dxa"/>
            <w:left w:w="108" w:type="dxa"/>
            <w:bottom w:w="0" w:type="dxa"/>
            <w:right w:w="108" w:type="dxa"/>
          </w:tblCellMar>
        </w:tblPrEx>
        <w:trPr>
          <w:trHeight w:val="233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376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F11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可变情报板</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0DF71">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显示面积：不小于1.6（高）×3.2m（宽）；</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汉字点阵32×32，并可显示中文、英文、阿拉伯数字等；</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每个像素点由红色、绿色LED组成；</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最佳视距：≥150m；</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平均无故障工作时间：大于100,000小时；</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计算机接口：25针或9针RS—232/485、以太网RJ45；</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亮度调节功能：16级可调；</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屏体防水、通风、散热。</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8E032">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DB89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r>
      <w:tr w14:paraId="35C6D33E">
        <w:tblPrEx>
          <w:tblCellMar>
            <w:top w:w="0" w:type="dxa"/>
            <w:left w:w="108" w:type="dxa"/>
            <w:bottom w:w="0" w:type="dxa"/>
            <w:right w:w="108" w:type="dxa"/>
          </w:tblCellMar>
        </w:tblPrEx>
        <w:trPr>
          <w:trHeight w:val="597"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511C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81D5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悬臂式情报板立柱</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98957">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立柱和支架采用钢材制作，并经热镀锌处理，镀锌量≥600g/m2；立柱安装于路侧；立柱净空高度≥5.5m。</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68B12">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221C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r>
      <w:tr w14:paraId="4843465A">
        <w:tblPrEx>
          <w:tblCellMar>
            <w:top w:w="0" w:type="dxa"/>
            <w:left w:w="108" w:type="dxa"/>
            <w:bottom w:w="0" w:type="dxa"/>
            <w:right w:w="108" w:type="dxa"/>
          </w:tblCellMar>
        </w:tblPrEx>
        <w:trPr>
          <w:trHeight w:val="886"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2C66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3</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2C8FE">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光纤收发器</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951C">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光口速率：1.25G，包转发率：2.98Mpps，网口速率：1*10/100M RJ45，光纤接口默认SC ，传输距离20公里，工作温度-40°C~+85°C，工作电压DC12~58V防护等级IP40防护等级。</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62F08">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73A46">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r>
      <w:tr w14:paraId="7D906BEF">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ECA01">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863F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配电机箱</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13375">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尺寸：200*400*500，防水防尘，内置空开，防雷，接线端子。</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FF93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90B3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r>
      <w:tr w14:paraId="6DE040F4">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9B50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365B3">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情报抓拍立柱</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163CA">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立柱采用钢材制作，横臂≥0.5米；立柱安装于路侧。</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F51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0D38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r>
      <w:tr w14:paraId="50F4C25E">
        <w:tblPrEx>
          <w:tblCellMar>
            <w:top w:w="0" w:type="dxa"/>
            <w:left w:w="108" w:type="dxa"/>
            <w:bottom w:w="0" w:type="dxa"/>
            <w:right w:w="108" w:type="dxa"/>
          </w:tblCellMar>
        </w:tblPrEx>
        <w:trPr>
          <w:trHeight w:val="204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8B91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1894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网络球机</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C9EDF">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采用400万像素1/2.8英寸CMOS</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支持人形检测</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支持绊线入侵、区域入侵</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支持H.265编码，实现超低码流传输</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支持双向语音对讲</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支持声光报警</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内置高效红外灯和白光灯，支持三种夜视模式</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79353">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BA77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r>
      <w:tr w14:paraId="010D4B03">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8230">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五</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C56CE">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交通标志标线</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B2834">
            <w:pPr>
              <w:jc w:val="center"/>
              <w:rPr>
                <w:rFonts w:ascii="宋体" w:hAnsi="宋体" w:cs="宋体"/>
                <w:b/>
                <w:bCs/>
                <w:color w:val="auto"/>
                <w:sz w:val="24"/>
                <w:szCs w:val="24"/>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2270A">
            <w:pPr>
              <w:jc w:val="center"/>
              <w:rPr>
                <w:rFonts w:ascii="宋体" w:hAnsi="宋体" w:cs="宋体"/>
                <w:b/>
                <w:bCs/>
                <w:color w:val="auto"/>
                <w:sz w:val="24"/>
                <w:szCs w:val="24"/>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5D6F">
            <w:pPr>
              <w:jc w:val="center"/>
              <w:rPr>
                <w:rFonts w:ascii="宋体" w:hAnsi="宋体" w:cs="宋体"/>
                <w:b/>
                <w:bCs/>
                <w:color w:val="auto"/>
                <w:sz w:val="24"/>
                <w:szCs w:val="24"/>
                <w:highlight w:val="none"/>
              </w:rPr>
            </w:pPr>
          </w:p>
        </w:tc>
      </w:tr>
      <w:tr w14:paraId="62F06EB6">
        <w:tblPrEx>
          <w:tblCellMar>
            <w:top w:w="0" w:type="dxa"/>
            <w:left w:w="108" w:type="dxa"/>
            <w:bottom w:w="0" w:type="dxa"/>
            <w:right w:w="108" w:type="dxa"/>
          </w:tblCellMar>
        </w:tblPrEx>
        <w:trPr>
          <w:trHeight w:val="597"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363D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2052">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检测区前方500m标识牌</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E0DA">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称重检测区起点前方设置“前方 XXXm 货运车辆动态称重抓拍取证”交通指示标志，标志与称重检测区起点之间的距离应不小于 500m。</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CD">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93484">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r>
      <w:tr w14:paraId="7387B95D">
        <w:tblPrEx>
          <w:tblCellMar>
            <w:top w:w="0" w:type="dxa"/>
            <w:left w:w="108" w:type="dxa"/>
            <w:bottom w:w="0" w:type="dxa"/>
            <w:right w:w="108" w:type="dxa"/>
          </w:tblCellMar>
        </w:tblPrEx>
        <w:trPr>
          <w:trHeight w:val="886"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4364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11F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卸货点引导指示标志</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6F21C">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称重检测区后方超限信息提示设备下游设置“超限超载车辆请前往 XXXX 卸货并接受处理 联系电话：XXXXX 地址：XXXXX”警告标志，标志与超限信息提示设备距离应不小于 150m。</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318C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A66D4">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r>
      <w:tr w14:paraId="6442909B">
        <w:tblPrEx>
          <w:tblCellMar>
            <w:top w:w="0" w:type="dxa"/>
            <w:left w:w="108" w:type="dxa"/>
            <w:bottom w:w="0" w:type="dxa"/>
            <w:right w:w="108" w:type="dxa"/>
          </w:tblCellMar>
        </w:tblPrEx>
        <w:trPr>
          <w:trHeight w:val="597"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29C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3</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C761">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禁止变道、最低限速、向前300米标志</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7B964">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称重检测区前方 150m 处设置“禁止超车”禁令标志，“最低限速（10km/h）” 指示标志和“向前 300 米”辅助标志。</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01368">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57411">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r>
      <w:tr w14:paraId="39ABD03B">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81BE">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84465">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解除禁止变道标志</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49F85">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解除禁止变道标志牌，含立杆。</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8A07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FAA7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r>
      <w:tr w14:paraId="2547CB19">
        <w:tblPrEx>
          <w:tblCellMar>
            <w:top w:w="0" w:type="dxa"/>
            <w:left w:w="108" w:type="dxa"/>
            <w:bottom w:w="0" w:type="dxa"/>
            <w:right w:w="108" w:type="dxa"/>
          </w:tblCellMar>
        </w:tblPrEx>
        <w:trPr>
          <w:trHeight w:val="597"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2CF8">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5</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9EF25">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“动态称重 抓拍取证”告知标志</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86277">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称重检测区前设置“动态称重 抓拍取证”告知标志，附着在车尾识别抓拍摄像机杆件立柱上。</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64B2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E859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r>
      <w:tr w14:paraId="782A8B64">
        <w:tblPrEx>
          <w:tblCellMar>
            <w:top w:w="0" w:type="dxa"/>
            <w:left w:w="108" w:type="dxa"/>
            <w:bottom w:w="0" w:type="dxa"/>
            <w:right w:w="108" w:type="dxa"/>
          </w:tblCellMar>
        </w:tblPrEx>
        <w:trPr>
          <w:trHeight w:val="886"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73E5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6</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9682">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“全天监控 破坏严惩”、“逆行抓拍”警告标志</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C474">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重检测区后设置“全天监控 破坏严惩”警告标志，附着在车头识别摄像机杆件立柱上；在车头识别摄像机杆件横臂上设置“逆行抓拍”警告标志，标志正面朝向行车方向。</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F7E11">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4298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r>
      <w:tr w14:paraId="6BD1B56A">
        <w:tblPrEx>
          <w:tblCellMar>
            <w:top w:w="0" w:type="dxa"/>
            <w:left w:w="108" w:type="dxa"/>
            <w:bottom w:w="0" w:type="dxa"/>
            <w:right w:w="108" w:type="dxa"/>
          </w:tblCellMar>
        </w:tblPrEx>
        <w:trPr>
          <w:trHeight w:val="597"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69B3">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7</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DC0F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标志标线</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F608B">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车道线恢复。</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7BEE4">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车道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2F72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w:t>
            </w:r>
          </w:p>
        </w:tc>
      </w:tr>
      <w:tr w14:paraId="257C8F9C">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9A0B6">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六</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7540A">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供电与防雷系统</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C905">
            <w:pPr>
              <w:jc w:val="center"/>
              <w:rPr>
                <w:rFonts w:ascii="宋体" w:hAnsi="宋体" w:cs="宋体"/>
                <w:b/>
                <w:bCs/>
                <w:color w:val="auto"/>
                <w:sz w:val="24"/>
                <w:szCs w:val="24"/>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7FEF">
            <w:pPr>
              <w:jc w:val="center"/>
              <w:rPr>
                <w:rFonts w:ascii="宋体" w:hAnsi="宋体" w:cs="宋体"/>
                <w:b/>
                <w:bCs/>
                <w:color w:val="auto"/>
                <w:sz w:val="24"/>
                <w:szCs w:val="24"/>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D9B9">
            <w:pPr>
              <w:jc w:val="center"/>
              <w:rPr>
                <w:rFonts w:ascii="宋体" w:hAnsi="宋体" w:cs="宋体"/>
                <w:b/>
                <w:bCs/>
                <w:color w:val="auto"/>
                <w:sz w:val="24"/>
                <w:szCs w:val="24"/>
                <w:highlight w:val="none"/>
              </w:rPr>
            </w:pPr>
          </w:p>
        </w:tc>
      </w:tr>
      <w:tr w14:paraId="1937EFC5">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21D3">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606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室外网线</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78C9">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超5类</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979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6CDF5">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300</w:t>
            </w:r>
          </w:p>
        </w:tc>
      </w:tr>
      <w:tr w14:paraId="174E4897">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2226">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CD85">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光纤(机柜到LED屏)</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12641">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4芯单模</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57BA2">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4BE8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600</w:t>
            </w:r>
          </w:p>
        </w:tc>
      </w:tr>
      <w:tr w14:paraId="078D6972">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392F6">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3</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9B38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信号线RVV4×0.5</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D797">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RVV4×0.5</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AE7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1148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600</w:t>
            </w:r>
          </w:p>
        </w:tc>
      </w:tr>
      <w:tr w14:paraId="472C3873">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2EB31">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59A2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电力电缆YJV3×10</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7C4D4">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YJV3×10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6B9C2">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0F88D">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600</w:t>
            </w:r>
          </w:p>
        </w:tc>
      </w:tr>
      <w:tr w14:paraId="102CF7B3">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E7E1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5</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87B9E">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电源线RVV3×2.5</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B43DF">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RVV3×2.5</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7BC4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F73DE">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300</w:t>
            </w:r>
          </w:p>
        </w:tc>
      </w:tr>
      <w:tr w14:paraId="654E66FC">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73EA8">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6</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B8874">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电源线RVV2×1</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E8050">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RVV2×1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636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BB7FE">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300</w:t>
            </w:r>
          </w:p>
        </w:tc>
      </w:tr>
      <w:tr w14:paraId="6BBA3C03">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1B7F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7</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BB0E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PE穿线管</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B23D">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φ50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88E9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36583">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600</w:t>
            </w:r>
          </w:p>
        </w:tc>
      </w:tr>
      <w:tr w14:paraId="405E8DDA">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2EB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8</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6AEA6">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电缆光缆埋设</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6F3AA">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杆件到落地机柜管线敷设。含开挖、埋管、回填、线管敷设等</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EA70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ADBC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600</w:t>
            </w:r>
          </w:p>
        </w:tc>
      </w:tr>
      <w:tr w14:paraId="1F391917">
        <w:tblPrEx>
          <w:tblCellMar>
            <w:top w:w="0" w:type="dxa"/>
            <w:left w:w="108" w:type="dxa"/>
            <w:bottom w:w="0" w:type="dxa"/>
            <w:right w:w="108" w:type="dxa"/>
          </w:tblCellMar>
        </w:tblPrEx>
        <w:trPr>
          <w:trHeight w:val="204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4CA4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9</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BBD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防雷保护器</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6D31E">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最大放电电流 40kA</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最大持续工作电压 275v</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电压保护水平 1.5kv</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 xml:space="preserve">标称放电电流20kA </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防护等级 IP20</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安装方式 导轨安装</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极数  2P</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E0AD3">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23431">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5</w:t>
            </w:r>
          </w:p>
        </w:tc>
      </w:tr>
      <w:tr w14:paraId="29363C92">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4404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10</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3A59D">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防雷接地系统</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53135">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接地电阻不大于4欧姆。</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D886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7DD6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5</w:t>
            </w:r>
          </w:p>
        </w:tc>
      </w:tr>
      <w:tr w14:paraId="206C0FC6">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E79B1">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11</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4E2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其他辅材</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C3C6">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光纤尾纤、跳线、绑带、PVC导管DN50等。</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1824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0E272">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r>
      <w:tr w14:paraId="0CB70D09">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5E908">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七</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9CA66">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网络信息传输系统</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67383">
            <w:pPr>
              <w:jc w:val="center"/>
              <w:rPr>
                <w:rFonts w:ascii="宋体" w:hAnsi="宋体" w:cs="宋体"/>
                <w:b/>
                <w:bCs/>
                <w:color w:val="auto"/>
                <w:sz w:val="24"/>
                <w:szCs w:val="24"/>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A34DE">
            <w:pPr>
              <w:jc w:val="center"/>
              <w:rPr>
                <w:rFonts w:ascii="宋体" w:hAnsi="宋体" w:cs="宋体"/>
                <w:b/>
                <w:bCs/>
                <w:color w:val="auto"/>
                <w:sz w:val="24"/>
                <w:szCs w:val="24"/>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AFF0B">
            <w:pPr>
              <w:jc w:val="center"/>
              <w:rPr>
                <w:rFonts w:ascii="宋体" w:hAnsi="宋体" w:cs="宋体"/>
                <w:b/>
                <w:bCs/>
                <w:color w:val="auto"/>
                <w:sz w:val="24"/>
                <w:szCs w:val="24"/>
                <w:highlight w:val="none"/>
              </w:rPr>
            </w:pPr>
          </w:p>
        </w:tc>
      </w:tr>
      <w:tr w14:paraId="6E9AE245">
        <w:tblPrEx>
          <w:tblCellMar>
            <w:top w:w="0" w:type="dxa"/>
            <w:left w:w="108" w:type="dxa"/>
            <w:bottom w:w="0" w:type="dxa"/>
            <w:right w:w="108" w:type="dxa"/>
          </w:tblCellMar>
        </w:tblPrEx>
        <w:trPr>
          <w:trHeight w:val="597"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BC30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686B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以太网交换机</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EEC7">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端口数：24个；</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交换机传输速率：10/100/1000Mbps。</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7090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台</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4F5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r>
      <w:tr w14:paraId="2FABA46E">
        <w:tblPrEx>
          <w:tblCellMar>
            <w:top w:w="0" w:type="dxa"/>
            <w:left w:w="108" w:type="dxa"/>
            <w:bottom w:w="0" w:type="dxa"/>
            <w:right w:w="108" w:type="dxa"/>
          </w:tblCellMar>
        </w:tblPrEx>
        <w:trPr>
          <w:trHeight w:val="85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6235">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6FE2">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站端综合处理终端</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08C5">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CPU：不低于I5,四核，主频不低于3GHz；</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内存：≥8G</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硬盘：≥500G</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网卡：双网卡</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端口：RS232串口数量不少于2个</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存储车辆信息不少于7*24小时</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能实现断网数据续传</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能提供车头、车尾、车身、车牌图片</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能提供超载车辆能过称重检测区域前7秒后3秒视频</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能控制情报板的显示内容与模式</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能智能遥控现场视频相机设备</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监测前端称重设备、抓拍设备、情报发布设备状态</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实时显示车辆过车信息</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134F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A1245">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r>
      <w:tr w14:paraId="19AE7A83">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FCEC0">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八</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7DD5">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路面改造</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254C">
            <w:pPr>
              <w:jc w:val="center"/>
              <w:rPr>
                <w:rFonts w:ascii="宋体" w:hAnsi="宋体" w:cs="宋体"/>
                <w:b/>
                <w:bCs/>
                <w:color w:val="auto"/>
                <w:sz w:val="24"/>
                <w:szCs w:val="24"/>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EDB67">
            <w:pPr>
              <w:jc w:val="center"/>
              <w:rPr>
                <w:rFonts w:ascii="宋体" w:hAnsi="宋体" w:cs="宋体"/>
                <w:b/>
                <w:bCs/>
                <w:color w:val="auto"/>
                <w:sz w:val="24"/>
                <w:szCs w:val="24"/>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3F5EE">
            <w:pPr>
              <w:jc w:val="center"/>
              <w:rPr>
                <w:rFonts w:ascii="宋体" w:hAnsi="宋体" w:cs="宋体"/>
                <w:b/>
                <w:bCs/>
                <w:color w:val="auto"/>
                <w:sz w:val="24"/>
                <w:szCs w:val="24"/>
                <w:highlight w:val="none"/>
              </w:rPr>
            </w:pPr>
          </w:p>
        </w:tc>
      </w:tr>
      <w:tr w14:paraId="5B818686">
        <w:tblPrEx>
          <w:tblCellMar>
            <w:top w:w="0" w:type="dxa"/>
            <w:left w:w="108" w:type="dxa"/>
            <w:bottom w:w="0" w:type="dxa"/>
            <w:right w:w="108" w:type="dxa"/>
          </w:tblCellMar>
        </w:tblPrEx>
        <w:trPr>
          <w:trHeight w:val="308"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BF44">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C7F13">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路面挖除</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3E0E8">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原路面破碎，清除。</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7F86E">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m</w:t>
            </w:r>
            <w:r>
              <w:rPr>
                <w:rFonts w:hint="eastAsia" w:ascii="宋体" w:hAnsi="宋体" w:cs="宋体"/>
                <w:color w:val="auto"/>
                <w:kern w:val="0"/>
                <w:sz w:val="24"/>
                <w:szCs w:val="24"/>
                <w:highlight w:val="none"/>
                <w:vertAlign w:val="superscript"/>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246C3">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144</w:t>
            </w:r>
          </w:p>
        </w:tc>
      </w:tr>
      <w:tr w14:paraId="56BE8549">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29AC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94EF6">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路面支模</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71ED1">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道路支模板</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5FD8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C40C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r>
      <w:tr w14:paraId="7395D325">
        <w:tblPrEx>
          <w:tblCellMar>
            <w:top w:w="0" w:type="dxa"/>
            <w:left w:w="108" w:type="dxa"/>
            <w:bottom w:w="0" w:type="dxa"/>
            <w:right w:w="108" w:type="dxa"/>
          </w:tblCellMar>
        </w:tblPrEx>
        <w:trPr>
          <w:trHeight w:val="886"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C1DAE">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3</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8615">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C40混凝土面层</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C6B7">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改造长度为执法站点前后共30m长的路面，改造深度30±5cm，对既有路面结构层挖除后，新建路面结构层，混凝土采用抗压强度不低于C40，混泥土所采用的水泥抗折不低于5.0级。</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B5AB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m</w:t>
            </w:r>
            <w:r>
              <w:rPr>
                <w:rFonts w:hint="eastAsia" w:ascii="宋体" w:hAnsi="宋体" w:cs="宋体"/>
                <w:color w:val="auto"/>
                <w:kern w:val="0"/>
                <w:sz w:val="24"/>
                <w:szCs w:val="24"/>
                <w:highlight w:val="none"/>
                <w:vertAlign w:val="superscript"/>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2BD52">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144</w:t>
            </w:r>
          </w:p>
        </w:tc>
      </w:tr>
      <w:tr w14:paraId="220CD8B9">
        <w:tblPrEx>
          <w:tblCellMar>
            <w:top w:w="0" w:type="dxa"/>
            <w:left w:w="108" w:type="dxa"/>
            <w:bottom w:w="0" w:type="dxa"/>
            <w:right w:w="108" w:type="dxa"/>
          </w:tblCellMar>
        </w:tblPrEx>
        <w:trPr>
          <w:trHeight w:val="597"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222E8">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210D8">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钢筋</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2441">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钢筋网材料及编制</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4C021">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车道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BAF31">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w:t>
            </w:r>
          </w:p>
        </w:tc>
      </w:tr>
      <w:tr w14:paraId="5A2AE890">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2F6A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5</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DC035">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路面刻纹</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3930A">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对水泥路面进行刻纹处理防滑处理。</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9BA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D532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480</w:t>
            </w:r>
          </w:p>
        </w:tc>
      </w:tr>
      <w:tr w14:paraId="195FE988">
        <w:tblPrEx>
          <w:tblCellMar>
            <w:top w:w="0" w:type="dxa"/>
            <w:left w:w="108" w:type="dxa"/>
            <w:bottom w:w="0" w:type="dxa"/>
            <w:right w:w="108" w:type="dxa"/>
          </w:tblCellMar>
        </w:tblPrEx>
        <w:trPr>
          <w:trHeight w:val="597"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B268">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6</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10E4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称重传感器基础施工</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EADF5">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含传感器基础切割、传感器定位、灌胶、养护等。</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4983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车道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0A53E">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w:t>
            </w:r>
          </w:p>
        </w:tc>
      </w:tr>
      <w:tr w14:paraId="79E5AE08">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ECE1E">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7</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618D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电气柜基础</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8018">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开挖基础，c25混凝土浇灌。</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3005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111D4">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r>
      <w:tr w14:paraId="5EB6735C">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255B3">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8</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AA5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抓拍杆件基础</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99E40">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开挖基础，c25混凝土浇灌。</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8E48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2E7E2">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w:t>
            </w:r>
          </w:p>
        </w:tc>
      </w:tr>
      <w:tr w14:paraId="29AB65FC">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47B5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9</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CD78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悬臂式情报板立柱基础</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39D9">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开挖基础，c25混凝土浇灌。</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91193">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402C6">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r>
      <w:tr w14:paraId="7A726429">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385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2E3A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情报抓拍立柱基础</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93C0">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开挖基础，c25混凝土浇灌。</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4FFE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ACC0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r>
      <w:tr w14:paraId="67C41888">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7282">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11</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9135">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标志牌基础</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18FFF">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开挖基础，c25混凝土浇灌。</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F94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14296">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w:t>
            </w:r>
          </w:p>
        </w:tc>
      </w:tr>
      <w:tr w14:paraId="0799CFA6">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0168">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12</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8D11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手孔</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39AE">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穿线手井。400*400*450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06A28">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53ED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10</w:t>
            </w:r>
          </w:p>
        </w:tc>
      </w:tr>
      <w:tr w14:paraId="3F1B016C">
        <w:tblPrEx>
          <w:tblCellMar>
            <w:top w:w="0" w:type="dxa"/>
            <w:left w:w="108" w:type="dxa"/>
            <w:bottom w:w="0" w:type="dxa"/>
            <w:right w:w="108" w:type="dxa"/>
          </w:tblCellMar>
        </w:tblPrEx>
        <w:trPr>
          <w:trHeight w:val="1175"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FD69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13</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83D0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施工安全设施费</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8ED5">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项目施工封道所需设施：含施工提示标志牌，限速标志牌，“道路变窄”标志牌，“禁止超车”标志牌，线型诱导牌、导向牌、导向灯、撞水马、路拦牌（带示警灯）、交通锥、“解除限速”标志牌、解除禁止超车标志牌等、安全围挡、防撞桶等安全设施。</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6784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192D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r>
      <w:tr w14:paraId="62C27FFB">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2525F">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九</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EBA95">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其他</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8EF8D">
            <w:pPr>
              <w:jc w:val="center"/>
              <w:rPr>
                <w:rFonts w:ascii="宋体" w:hAnsi="宋体" w:cs="宋体"/>
                <w:b/>
                <w:bCs/>
                <w:color w:val="auto"/>
                <w:sz w:val="24"/>
                <w:szCs w:val="24"/>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AACCC">
            <w:pPr>
              <w:jc w:val="center"/>
              <w:rPr>
                <w:rFonts w:ascii="宋体" w:hAnsi="宋体" w:cs="宋体"/>
                <w:b/>
                <w:bCs/>
                <w:color w:val="auto"/>
                <w:sz w:val="24"/>
                <w:szCs w:val="24"/>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3C6E9">
            <w:pPr>
              <w:jc w:val="center"/>
              <w:rPr>
                <w:rFonts w:ascii="宋体" w:hAnsi="宋体" w:cs="宋体"/>
                <w:b/>
                <w:bCs/>
                <w:color w:val="auto"/>
                <w:sz w:val="24"/>
                <w:szCs w:val="24"/>
                <w:highlight w:val="none"/>
              </w:rPr>
            </w:pPr>
          </w:p>
        </w:tc>
      </w:tr>
      <w:tr w14:paraId="7FA54E3F">
        <w:tblPrEx>
          <w:tblCellMar>
            <w:top w:w="0" w:type="dxa"/>
            <w:left w:w="108" w:type="dxa"/>
            <w:bottom w:w="0" w:type="dxa"/>
            <w:right w:w="108" w:type="dxa"/>
          </w:tblCellMar>
        </w:tblPrEx>
        <w:trPr>
          <w:trHeight w:val="597"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4A7E2">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971ED">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首次检定费</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46F5C">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按衡器相关标准。</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0E33A">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车道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A1AD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w:t>
            </w:r>
          </w:p>
        </w:tc>
      </w:tr>
      <w:tr w14:paraId="20B44631">
        <w:tblPrEx>
          <w:tblCellMar>
            <w:top w:w="0" w:type="dxa"/>
            <w:left w:w="108" w:type="dxa"/>
            <w:bottom w:w="0" w:type="dxa"/>
            <w:right w:w="108" w:type="dxa"/>
          </w:tblCellMar>
        </w:tblPrEx>
        <w:trPr>
          <w:trHeight w:val="597"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7CF7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F809E">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租车测试费</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60C8F">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租用检测车辆。</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C97A7">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车道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2A302">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w:t>
            </w:r>
          </w:p>
        </w:tc>
      </w:tr>
      <w:tr w14:paraId="1080CB38">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57DB3">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3</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402D5">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安装调试费</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D982B">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含前端采集系统的安装、调试等。</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8DF3">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9856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r>
      <w:tr w14:paraId="7DCFAD54">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D94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CE3B2">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数据网络专线（50M）</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E827">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站点信息传输专线。</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D464">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DF151">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r>
      <w:tr w14:paraId="4845FF3B">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967ED">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5</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C50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市电接入（开户费）</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F796">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含开户费</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1FF26">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61D7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r>
      <w:tr w14:paraId="5EF13C8C">
        <w:tblPrEx>
          <w:tblCellMar>
            <w:top w:w="0" w:type="dxa"/>
            <w:left w:w="108" w:type="dxa"/>
            <w:bottom w:w="0" w:type="dxa"/>
            <w:right w:w="108" w:type="dxa"/>
          </w:tblCellMar>
        </w:tblPrEx>
        <w:trPr>
          <w:trHeight w:val="1977"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D447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84E63">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计算机</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1EE8">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CPU：intel高性能双核处理器。</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内存：≥4GByte。</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硬盘：≥1TByte。</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光驱：DVD/RW。</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显卡：独立显卡。</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网卡：100/1000Mbps自适应。</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显示器：23英寸液晶显示器。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2763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CC2F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5</w:t>
            </w:r>
          </w:p>
        </w:tc>
      </w:tr>
      <w:tr w14:paraId="1F68506F">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CC29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7</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10A3E">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打印机</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2D6FF">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A3</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ED2B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台</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C89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r>
      <w:tr w14:paraId="06FAB9A2">
        <w:tblPrEx>
          <w:tblCellMar>
            <w:top w:w="0" w:type="dxa"/>
            <w:left w:w="108" w:type="dxa"/>
            <w:bottom w:w="0" w:type="dxa"/>
            <w:right w:w="108" w:type="dxa"/>
          </w:tblCellMar>
        </w:tblPrEx>
        <w:trPr>
          <w:trHeight w:val="46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26F8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8</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EA55">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打印机</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3999E">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A4</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1AF6">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台</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C4408">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r>
      <w:tr w14:paraId="4172BC3A">
        <w:tblPrEx>
          <w:tblCellMar>
            <w:top w:w="0" w:type="dxa"/>
            <w:left w:w="108" w:type="dxa"/>
            <w:bottom w:w="0" w:type="dxa"/>
            <w:right w:w="108" w:type="dxa"/>
          </w:tblCellMar>
        </w:tblPrEx>
        <w:trPr>
          <w:trHeight w:val="4664"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01D58">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9</w:t>
            </w:r>
          </w:p>
        </w:tc>
        <w:tc>
          <w:tcPr>
            <w:tcW w:w="4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29A3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车牌对比服务器</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37411">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1、集智能解析、存储、应用于一体，适用于各类轻量化智能场景；</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2、单台设备最高支持32路视频同时分析；</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3、单台设备支持4000万条图片、数据存储；</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4、采用专业级GPU加速器，基于深度学习的智能分析算法；</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5、车辆分析结果支持车牌号码、车牌类型、车身颜色、车牌颜色、车辆类型、车辆主品牌、车辆子品牌、主机驾驶安全带、副驾驶安全带、主驾驶遮阳板、副驾驶遮阳板、是否打手机、是否临牌、是否挂件、是否摆件、是否危险品车、是否有纸巾盒、目标方向（视频抓拍输出）、目标大小（视频）、目标速度（视频）</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6、图片分析性能：图片（200-800万分辨率，目标检出16个）：</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1）混合模式(1检测1分类)：64张/s；</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2）单检测模式：64张/s；</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3）单分类模式 ：64张/s；</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4）多标签分类模式 ：64张/s；</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5）多属性分类模式（支持16分类） ：64张/s；</w:t>
            </w:r>
            <w:r>
              <w:rPr>
                <w:rFonts w:hint="eastAsia" w:ascii="宋体" w:hAnsi="宋体" w:cs="宋体"/>
                <w:color w:val="auto"/>
                <w:kern w:val="0"/>
                <w:sz w:val="24"/>
                <w:szCs w:val="24"/>
                <w:highlight w:val="none"/>
                <w:lang w:bidi="ar"/>
              </w:rPr>
              <w:br w:type="textWrapping"/>
            </w:r>
            <w:r>
              <w:rPr>
                <w:rFonts w:hint="eastAsia" w:ascii="宋体" w:hAnsi="宋体" w:cs="宋体"/>
                <w:color w:val="auto"/>
                <w:kern w:val="0"/>
                <w:sz w:val="24"/>
                <w:szCs w:val="24"/>
                <w:highlight w:val="none"/>
                <w:lang w:bidi="ar"/>
              </w:rPr>
              <w:t>6）OCR：64张/s；</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9794">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台</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D5B8">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r>
    </w:tbl>
    <w:p w14:paraId="05E4AC1E">
      <w:pPr>
        <w:spacing w:line="240" w:lineRule="auto"/>
        <w:rPr>
          <w:rFonts w:hint="eastAsia" w:ascii="宋体" w:hAnsi="宋体" w:eastAsia="宋体" w:cs="宋体"/>
          <w:color w:val="auto"/>
          <w:sz w:val="24"/>
          <w:szCs w:val="24"/>
          <w:highlight w:val="none"/>
        </w:rPr>
      </w:pPr>
    </w:p>
    <w:p w14:paraId="4150A1B8">
      <w:pPr>
        <w:rPr>
          <w:rFonts w:hint="eastAsia"/>
          <w:color w:val="auto"/>
          <w:highlight w:val="none"/>
        </w:rPr>
      </w:pPr>
    </w:p>
    <w:p w14:paraId="5408326E">
      <w:pPr>
        <w:rPr>
          <w:rFonts w:hint="eastAsia" w:ascii="宋体" w:hAnsi="宋体" w:cs="宋体"/>
          <w:b/>
          <w:bCs/>
          <w:color w:val="auto"/>
          <w:sz w:val="36"/>
          <w:szCs w:val="36"/>
          <w:highlight w:val="none"/>
        </w:rPr>
        <w:sectPr>
          <w:pgSz w:w="16838" w:h="11906" w:orient="landscape"/>
          <w:pgMar w:top="1803" w:right="1440" w:bottom="1803" w:left="1440" w:header="851" w:footer="992" w:gutter="0"/>
          <w:pgNumType w:fmt="decimal"/>
          <w:cols w:space="0" w:num="1"/>
          <w:rtlGutter w:val="0"/>
          <w:docGrid w:type="lines" w:linePitch="319" w:charSpace="0"/>
        </w:sectPr>
      </w:pPr>
      <w:r>
        <w:rPr>
          <w:rFonts w:hint="eastAsia" w:ascii="宋体" w:hAnsi="宋体" w:cs="宋体"/>
          <w:b/>
          <w:bCs/>
          <w:color w:val="auto"/>
          <w:sz w:val="36"/>
          <w:szCs w:val="36"/>
          <w:highlight w:val="none"/>
        </w:rPr>
        <w:br w:type="page"/>
      </w:r>
    </w:p>
    <w:p w14:paraId="700D2C0D">
      <w:pPr>
        <w:rPr>
          <w:rFonts w:hint="eastAsia" w:ascii="宋体" w:hAnsi="宋体" w:cs="宋体"/>
          <w:b/>
          <w:bCs/>
          <w:color w:val="auto"/>
          <w:sz w:val="36"/>
          <w:szCs w:val="36"/>
          <w:highlight w:val="none"/>
        </w:rPr>
      </w:pPr>
    </w:p>
    <w:p w14:paraId="5DAD49FE">
      <w:pPr>
        <w:shd w:val="clear" w:color="auto" w:fill="FFFFFF"/>
        <w:snapToGrid w:val="0"/>
        <w:spacing w:line="360" w:lineRule="auto"/>
        <w:ind w:right="105" w:rightChars="50"/>
        <w:jc w:val="center"/>
        <w:outlineLvl w:val="0"/>
        <w:rPr>
          <w:rFonts w:ascii="宋体"/>
          <w:b/>
          <w:bCs/>
          <w:color w:val="auto"/>
          <w:sz w:val="36"/>
          <w:szCs w:val="36"/>
          <w:highlight w:val="none"/>
        </w:rPr>
      </w:pPr>
      <w:bookmarkStart w:id="104" w:name="_Toc17237"/>
      <w:r>
        <w:rPr>
          <w:rFonts w:hint="eastAsia" w:ascii="宋体" w:hAnsi="宋体" w:cs="宋体"/>
          <w:b/>
          <w:bCs/>
          <w:color w:val="auto"/>
          <w:sz w:val="36"/>
          <w:szCs w:val="36"/>
          <w:highlight w:val="none"/>
        </w:rPr>
        <w:t>第四章</w:t>
      </w:r>
      <w:r>
        <w:rPr>
          <w:rFonts w:ascii="宋体" w:hAnsi="宋体" w:cs="宋体"/>
          <w:b/>
          <w:bCs/>
          <w:color w:val="auto"/>
          <w:sz w:val="36"/>
          <w:szCs w:val="36"/>
          <w:highlight w:val="none"/>
        </w:rPr>
        <w:t xml:space="preserve"> </w:t>
      </w:r>
      <w:r>
        <w:rPr>
          <w:rFonts w:hint="eastAsia" w:ascii="宋体" w:hAnsi="宋体" w:cs="宋体"/>
          <w:b/>
          <w:bCs/>
          <w:color w:val="auto"/>
          <w:sz w:val="36"/>
          <w:szCs w:val="36"/>
          <w:highlight w:val="none"/>
          <w:lang w:val="en-US" w:eastAsia="zh-CN"/>
        </w:rPr>
        <w:t xml:space="preserve"> </w:t>
      </w:r>
      <w:r>
        <w:rPr>
          <w:rFonts w:hint="eastAsia" w:ascii="宋体" w:hAnsi="宋体" w:cs="宋体"/>
          <w:b/>
          <w:bCs/>
          <w:color w:val="auto"/>
          <w:sz w:val="36"/>
          <w:szCs w:val="36"/>
          <w:highlight w:val="none"/>
        </w:rPr>
        <w:t>评标办法</w:t>
      </w:r>
      <w:bookmarkEnd w:id="104"/>
    </w:p>
    <w:p w14:paraId="2A388895">
      <w:pPr>
        <w:spacing w:line="360" w:lineRule="auto"/>
        <w:outlineLvl w:val="0"/>
        <w:rPr>
          <w:rFonts w:hint="eastAsia" w:ascii="宋体" w:hAnsi="宋体" w:eastAsia="宋体" w:cs="宋体"/>
          <w:color w:val="auto"/>
          <w:sz w:val="24"/>
          <w:szCs w:val="24"/>
          <w:highlight w:val="none"/>
        </w:rPr>
      </w:pPr>
      <w:bookmarkStart w:id="105" w:name="_Toc24261"/>
      <w:bookmarkStart w:id="106" w:name="_Toc27629"/>
      <w:r>
        <w:rPr>
          <w:rFonts w:hint="eastAsia" w:ascii="宋体" w:hAnsi="宋体" w:eastAsia="宋体" w:cs="宋体"/>
          <w:color w:val="auto"/>
          <w:sz w:val="24"/>
          <w:szCs w:val="24"/>
          <w:highlight w:val="none"/>
        </w:rPr>
        <w:t>1.投标文件的评审、比较和否决</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1.1评标委员会将按照招标文件的规定，仅对在实质上响应招标文件要求的投标文件进行评估和比较。</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1.2根据相关法律法规及有关招投标文件规定，结合本项目具体情况，制定本次招标评标办法。并按照“公平、公正、科学、择优”的原则进行评标。采用综合评分法进行评比。</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1.3在评审过程中，评标委员会可以以书面形式要求投标供应商就投标文件中含义不明确的内容进行书面说明并提供相关材料；凡遇到招标文件中无界定或界定不清、前后不一致使评委会成员意见有分歧且又难于协商一致的问题，均由评委会予以表决，获半数以上同意的即为通过，未获半数同意的即为否决。</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1.4评标时，投标报价是评标的重要依据，但不是唯一依据，采购人不承诺将合同授予报价最低或最高的投标供应商。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1.5在评标过程中，出现多家供应商代理同一品牌同一型号产品参加投标的情况时，应当作为一家供应商计算，且由评标委员会现场确认。由评标委员会对投标同一品牌同一型号产品的多家供应商，按照本章确定的评分办法及标准对供应商先行进行打分，分值最高者为唯一的有效投标供应商；若得分相同的，以报价最低的投标供应商为唯一的有效投标供应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1.6在评标过程中，采购人采购的产品属于“节能产品政府采购清单”和“环境标志产品政府采购清单”中品目的，在性能、技术、服务等指标同等条件下，应当优先采购清单中的产品。对于同时列入环保清单和节能清单的产品，应当优先于只获得其中一项认证的产品。</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1.7评标委员会依据本须知规定的评标标准和方法，对投标文件进行评审和比较，向采购人提出书面评标报告，并推荐合格的中标候选人。采购人授权评标委员会根据提出的书面评标报告和推荐的中标候选人按序确定中标供应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2．评分标准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采用综合评分法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 xml:space="preserve">    评标委员会按照《中华人民共和国政府采购法》和《评标委员会和评标方法暂行规定》，结合本项目具体情况，按下列标准打分：第一部分：商务</w:t>
      </w:r>
      <w:r>
        <w:rPr>
          <w:rFonts w:hint="eastAsia" w:ascii="宋体" w:hAnsi="宋体" w:eastAsia="宋体" w:cs="宋体"/>
          <w:color w:val="auto"/>
          <w:sz w:val="24"/>
          <w:szCs w:val="24"/>
          <w:highlight w:val="none"/>
          <w:lang w:val="en-US" w:eastAsia="zh-CN"/>
        </w:rPr>
        <w:t>部分</w:t>
      </w:r>
      <w:r>
        <w:rPr>
          <w:rFonts w:hint="eastAsia" w:ascii="宋体" w:hAnsi="宋体" w:eastAsia="宋体" w:cs="宋体"/>
          <w:color w:val="auto"/>
          <w:sz w:val="24"/>
          <w:szCs w:val="24"/>
          <w:highlight w:val="none"/>
        </w:rPr>
        <w:t>评审；第二部分：技术</w:t>
      </w:r>
      <w:r>
        <w:rPr>
          <w:rFonts w:hint="eastAsia" w:ascii="宋体" w:hAnsi="宋体" w:eastAsia="宋体" w:cs="宋体"/>
          <w:color w:val="auto"/>
          <w:sz w:val="24"/>
          <w:szCs w:val="24"/>
          <w:highlight w:val="none"/>
          <w:lang w:val="en-US" w:eastAsia="zh-CN"/>
        </w:rPr>
        <w:t>部分</w:t>
      </w:r>
      <w:r>
        <w:rPr>
          <w:rFonts w:hint="eastAsia" w:ascii="宋体" w:hAnsi="宋体" w:eastAsia="宋体" w:cs="宋体"/>
          <w:color w:val="auto"/>
          <w:sz w:val="24"/>
          <w:szCs w:val="24"/>
          <w:highlight w:val="none"/>
        </w:rPr>
        <w:t>评审；第三部分：综合</w:t>
      </w:r>
      <w:r>
        <w:rPr>
          <w:rFonts w:hint="eastAsia" w:ascii="宋体" w:hAnsi="宋体" w:eastAsia="宋体" w:cs="宋体"/>
          <w:color w:val="auto"/>
          <w:sz w:val="24"/>
          <w:szCs w:val="24"/>
          <w:highlight w:val="none"/>
          <w:lang w:val="en-US" w:eastAsia="zh-CN"/>
        </w:rPr>
        <w:t>部分</w:t>
      </w:r>
      <w:r>
        <w:rPr>
          <w:rFonts w:hint="eastAsia" w:ascii="宋体" w:hAnsi="宋体" w:eastAsia="宋体" w:cs="宋体"/>
          <w:color w:val="auto"/>
          <w:sz w:val="24"/>
          <w:szCs w:val="24"/>
          <w:highlight w:val="none"/>
        </w:rPr>
        <w:t>评审。</w:t>
      </w:r>
      <w:bookmarkEnd w:id="105"/>
      <w:bookmarkEnd w:id="106"/>
    </w:p>
    <w:p w14:paraId="320F9B4F">
      <w:pPr>
        <w:spacing w:line="360" w:lineRule="auto"/>
        <w:rPr>
          <w:color w:val="auto"/>
          <w:sz w:val="24"/>
          <w:szCs w:val="24"/>
          <w:highlight w:val="none"/>
        </w:rPr>
      </w:pPr>
      <w:r>
        <w:rPr>
          <w:rFonts w:hint="eastAsia" w:ascii="宋体" w:hAnsi="宋体" w:eastAsia="宋体" w:cs="宋体"/>
          <w:color w:val="auto"/>
          <w:sz w:val="24"/>
          <w:szCs w:val="24"/>
          <w:highlight w:val="none"/>
        </w:rPr>
        <w:t>投标供应商最终得分=商务</w:t>
      </w:r>
      <w:r>
        <w:rPr>
          <w:rFonts w:hint="eastAsia" w:ascii="宋体" w:hAnsi="宋体" w:eastAsia="宋体" w:cs="宋体"/>
          <w:color w:val="auto"/>
          <w:sz w:val="24"/>
          <w:szCs w:val="24"/>
          <w:highlight w:val="none"/>
          <w:lang w:val="en-US" w:eastAsia="zh-CN"/>
        </w:rPr>
        <w:t>部分</w:t>
      </w:r>
      <w:r>
        <w:rPr>
          <w:rFonts w:hint="eastAsia" w:ascii="宋体" w:hAnsi="宋体" w:eastAsia="宋体" w:cs="宋体"/>
          <w:color w:val="auto"/>
          <w:sz w:val="24"/>
          <w:szCs w:val="24"/>
          <w:highlight w:val="none"/>
        </w:rPr>
        <w:t>得分+技术</w:t>
      </w:r>
      <w:r>
        <w:rPr>
          <w:rFonts w:hint="eastAsia" w:ascii="宋体" w:hAnsi="宋体" w:eastAsia="宋体" w:cs="宋体"/>
          <w:color w:val="auto"/>
          <w:sz w:val="24"/>
          <w:szCs w:val="24"/>
          <w:highlight w:val="none"/>
          <w:lang w:val="en-US" w:eastAsia="zh-CN"/>
        </w:rPr>
        <w:t>部分</w:t>
      </w:r>
      <w:r>
        <w:rPr>
          <w:rFonts w:hint="eastAsia" w:ascii="宋体" w:hAnsi="宋体" w:eastAsia="宋体" w:cs="宋体"/>
          <w:color w:val="auto"/>
          <w:sz w:val="24"/>
          <w:szCs w:val="24"/>
          <w:highlight w:val="none"/>
        </w:rPr>
        <w:t>得分+综合</w:t>
      </w:r>
      <w:r>
        <w:rPr>
          <w:rFonts w:hint="eastAsia" w:ascii="宋体" w:hAnsi="宋体" w:eastAsia="宋体" w:cs="宋体"/>
          <w:color w:val="auto"/>
          <w:sz w:val="24"/>
          <w:szCs w:val="24"/>
          <w:highlight w:val="none"/>
          <w:lang w:val="en-US" w:eastAsia="zh-CN"/>
        </w:rPr>
        <w:t>部分</w:t>
      </w:r>
      <w:r>
        <w:rPr>
          <w:rFonts w:hint="eastAsia" w:ascii="宋体" w:hAnsi="宋体" w:eastAsia="宋体" w:cs="宋体"/>
          <w:color w:val="auto"/>
          <w:sz w:val="24"/>
          <w:szCs w:val="24"/>
          <w:highlight w:val="none"/>
        </w:rPr>
        <w:t>得分。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3.评审程序</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3.1资格审查</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 xml:space="preserve">    采购人按照</w:t>
      </w:r>
      <w:r>
        <w:rPr>
          <w:rFonts w:hint="eastAsia" w:ascii="宋体" w:hAnsi="宋体" w:eastAsia="宋体" w:cs="宋体"/>
          <w:b/>
          <w:bCs/>
          <w:color w:val="auto"/>
          <w:sz w:val="24"/>
          <w:szCs w:val="24"/>
          <w:highlight w:val="none"/>
        </w:rPr>
        <w:t>评标办法前附表</w:t>
      </w:r>
      <w:r>
        <w:rPr>
          <w:rFonts w:hint="eastAsia" w:ascii="宋体" w:hAnsi="宋体" w:eastAsia="宋体" w:cs="宋体"/>
          <w:color w:val="auto"/>
          <w:sz w:val="24"/>
          <w:szCs w:val="24"/>
          <w:highlight w:val="none"/>
        </w:rPr>
        <w:t>的要求，对投标供应商资格进行审查，有一项不符合的，视为未通过资格审查，不得进入下一评标过程。符合的进入下一评标程序。</w:t>
      </w:r>
    </w:p>
    <w:p w14:paraId="20A0C81E">
      <w:pPr>
        <w:pStyle w:val="29"/>
        <w:spacing w:line="360" w:lineRule="auto"/>
        <w:jc w:val="center"/>
        <w:rPr>
          <w:rFonts w:hAnsi="宋体"/>
          <w:b/>
          <w:bCs/>
          <w:color w:val="auto"/>
          <w:highlight w:val="none"/>
        </w:rPr>
      </w:pPr>
      <w:r>
        <w:rPr>
          <w:rFonts w:hint="eastAsia" w:hAnsi="宋体"/>
          <w:b/>
          <w:bCs/>
          <w:color w:val="auto"/>
          <w:highlight w:val="none"/>
        </w:rPr>
        <w:t>评标办法前附表</w:t>
      </w:r>
    </w:p>
    <w:tbl>
      <w:tblPr>
        <w:tblStyle w:val="18"/>
        <w:tblW w:w="959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5"/>
        <w:gridCol w:w="1257"/>
        <w:gridCol w:w="2013"/>
        <w:gridCol w:w="5374"/>
      </w:tblGrid>
      <w:tr w14:paraId="447717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2212" w:type="dxa"/>
            <w:gridSpan w:val="2"/>
            <w:tcBorders>
              <w:top w:val="single" w:color="auto" w:sz="4" w:space="0"/>
              <w:bottom w:val="single" w:color="auto" w:sz="4" w:space="0"/>
              <w:right w:val="single" w:color="auto" w:sz="4" w:space="0"/>
            </w:tcBorders>
            <w:noWrap w:val="0"/>
            <w:vAlign w:val="center"/>
          </w:tcPr>
          <w:p w14:paraId="1834B587">
            <w:pPr>
              <w:adjustRightInd w:val="0"/>
              <w:spacing w:line="360" w:lineRule="auto"/>
              <w:jc w:val="center"/>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初步评审</w:t>
            </w:r>
          </w:p>
        </w:tc>
        <w:tc>
          <w:tcPr>
            <w:tcW w:w="2013" w:type="dxa"/>
            <w:tcBorders>
              <w:top w:val="single" w:color="auto" w:sz="4" w:space="0"/>
              <w:left w:val="single" w:color="auto" w:sz="4" w:space="0"/>
              <w:bottom w:val="single" w:color="auto" w:sz="4" w:space="0"/>
              <w:right w:val="single" w:color="auto" w:sz="4" w:space="0"/>
            </w:tcBorders>
            <w:noWrap w:val="0"/>
            <w:vAlign w:val="center"/>
          </w:tcPr>
          <w:p w14:paraId="11180C42">
            <w:pPr>
              <w:adjustRightInd w:val="0"/>
              <w:spacing w:line="360" w:lineRule="auto"/>
              <w:jc w:val="center"/>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评审因素</w:t>
            </w:r>
          </w:p>
        </w:tc>
        <w:tc>
          <w:tcPr>
            <w:tcW w:w="5374" w:type="dxa"/>
            <w:tcBorders>
              <w:top w:val="single" w:color="auto" w:sz="4" w:space="0"/>
              <w:left w:val="single" w:color="auto" w:sz="4" w:space="0"/>
              <w:bottom w:val="single" w:color="auto" w:sz="4" w:space="0"/>
            </w:tcBorders>
            <w:noWrap w:val="0"/>
            <w:vAlign w:val="center"/>
          </w:tcPr>
          <w:p w14:paraId="5EBAA9A3">
            <w:pPr>
              <w:adjustRightInd w:val="0"/>
              <w:spacing w:line="360" w:lineRule="auto"/>
              <w:jc w:val="center"/>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评审标准</w:t>
            </w:r>
          </w:p>
        </w:tc>
      </w:tr>
      <w:tr w14:paraId="638A58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955" w:type="dxa"/>
            <w:vMerge w:val="restart"/>
            <w:tcBorders>
              <w:top w:val="single" w:color="auto" w:sz="4" w:space="0"/>
              <w:right w:val="single" w:color="auto" w:sz="4" w:space="0"/>
            </w:tcBorders>
            <w:noWrap w:val="0"/>
            <w:vAlign w:val="center"/>
          </w:tcPr>
          <w:p w14:paraId="7BE6318B">
            <w:pPr>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w:t>
            </w:r>
          </w:p>
        </w:tc>
        <w:tc>
          <w:tcPr>
            <w:tcW w:w="1257" w:type="dxa"/>
            <w:vMerge w:val="restart"/>
            <w:tcBorders>
              <w:top w:val="single" w:color="auto" w:sz="4" w:space="0"/>
              <w:right w:val="single" w:color="auto" w:sz="4" w:space="0"/>
            </w:tcBorders>
            <w:noWrap w:val="0"/>
            <w:vAlign w:val="center"/>
          </w:tcPr>
          <w:p w14:paraId="64D0ADD6">
            <w:pPr>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形式评审</w:t>
            </w:r>
          </w:p>
          <w:p w14:paraId="50A41D04">
            <w:pPr>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标准</w:t>
            </w:r>
          </w:p>
        </w:tc>
        <w:tc>
          <w:tcPr>
            <w:tcW w:w="2013" w:type="dxa"/>
            <w:tcBorders>
              <w:top w:val="single" w:color="auto" w:sz="4" w:space="0"/>
              <w:left w:val="single" w:color="auto" w:sz="4" w:space="0"/>
              <w:bottom w:val="single" w:color="auto" w:sz="4" w:space="0"/>
              <w:right w:val="single" w:color="auto" w:sz="4" w:space="0"/>
            </w:tcBorders>
            <w:noWrap w:val="0"/>
            <w:vAlign w:val="center"/>
          </w:tcPr>
          <w:p w14:paraId="133BF13F">
            <w:pPr>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p>
        </w:tc>
        <w:tc>
          <w:tcPr>
            <w:tcW w:w="5374" w:type="dxa"/>
            <w:tcBorders>
              <w:top w:val="single" w:color="auto" w:sz="4" w:space="0"/>
              <w:left w:val="single" w:color="auto" w:sz="4" w:space="0"/>
              <w:bottom w:val="single" w:color="auto" w:sz="4" w:space="0"/>
            </w:tcBorders>
            <w:noWrap w:val="0"/>
            <w:vAlign w:val="center"/>
          </w:tcPr>
          <w:p w14:paraId="2106C3C5">
            <w:pPr>
              <w:adjustRightInd w:val="0"/>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与营业执照一致</w:t>
            </w:r>
          </w:p>
        </w:tc>
      </w:tr>
      <w:tr w14:paraId="4D3598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955" w:type="dxa"/>
            <w:vMerge w:val="continue"/>
            <w:tcBorders>
              <w:right w:val="single" w:color="auto" w:sz="4" w:space="0"/>
            </w:tcBorders>
            <w:noWrap w:val="0"/>
            <w:vAlign w:val="bottom"/>
          </w:tcPr>
          <w:p w14:paraId="218C3D1C">
            <w:pPr>
              <w:adjustRightInd w:val="0"/>
              <w:spacing w:line="360" w:lineRule="auto"/>
              <w:jc w:val="center"/>
              <w:textAlignment w:val="baseline"/>
              <w:rPr>
                <w:rFonts w:hint="eastAsia" w:ascii="宋体" w:hAnsi="宋体" w:eastAsia="宋体" w:cs="宋体"/>
                <w:color w:val="auto"/>
                <w:sz w:val="24"/>
                <w:szCs w:val="24"/>
                <w:highlight w:val="none"/>
              </w:rPr>
            </w:pPr>
          </w:p>
        </w:tc>
        <w:tc>
          <w:tcPr>
            <w:tcW w:w="1257" w:type="dxa"/>
            <w:vMerge w:val="continue"/>
            <w:tcBorders>
              <w:right w:val="single" w:color="auto" w:sz="4" w:space="0"/>
            </w:tcBorders>
            <w:noWrap w:val="0"/>
            <w:vAlign w:val="center"/>
          </w:tcPr>
          <w:p w14:paraId="2FC1AFA4">
            <w:pPr>
              <w:adjustRightInd w:val="0"/>
              <w:spacing w:line="360" w:lineRule="auto"/>
              <w:jc w:val="center"/>
              <w:textAlignment w:val="baseline"/>
              <w:rPr>
                <w:rFonts w:hint="eastAsia" w:ascii="宋体" w:hAnsi="宋体" w:eastAsia="宋体" w:cs="宋体"/>
                <w:color w:val="auto"/>
                <w:sz w:val="24"/>
                <w:szCs w:val="24"/>
                <w:highlight w:val="none"/>
              </w:rPr>
            </w:pPr>
          </w:p>
        </w:tc>
        <w:tc>
          <w:tcPr>
            <w:tcW w:w="2013" w:type="dxa"/>
            <w:tcBorders>
              <w:top w:val="single" w:color="auto" w:sz="4" w:space="0"/>
              <w:left w:val="single" w:color="auto" w:sz="4" w:space="0"/>
              <w:bottom w:val="single" w:color="auto" w:sz="4" w:space="0"/>
              <w:right w:val="single" w:color="auto" w:sz="4" w:space="0"/>
            </w:tcBorders>
            <w:noWrap w:val="0"/>
            <w:vAlign w:val="center"/>
          </w:tcPr>
          <w:p w14:paraId="1E65A9AE">
            <w:pPr>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签字盖章</w:t>
            </w:r>
          </w:p>
        </w:tc>
        <w:tc>
          <w:tcPr>
            <w:tcW w:w="5374" w:type="dxa"/>
            <w:tcBorders>
              <w:top w:val="single" w:color="auto" w:sz="4" w:space="0"/>
              <w:left w:val="single" w:color="auto" w:sz="4" w:space="0"/>
              <w:bottom w:val="single" w:color="auto" w:sz="4" w:space="0"/>
            </w:tcBorders>
            <w:noWrap w:val="0"/>
            <w:vAlign w:val="center"/>
          </w:tcPr>
          <w:p w14:paraId="65524844">
            <w:pPr>
              <w:adjustRightInd w:val="0"/>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有法定代表人或其委托代理人签字或加盖单位章</w:t>
            </w:r>
          </w:p>
        </w:tc>
      </w:tr>
      <w:tr w14:paraId="68046F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955" w:type="dxa"/>
            <w:vMerge w:val="continue"/>
            <w:tcBorders>
              <w:right w:val="single" w:color="auto" w:sz="4" w:space="0"/>
            </w:tcBorders>
            <w:noWrap w:val="0"/>
            <w:vAlign w:val="bottom"/>
          </w:tcPr>
          <w:p w14:paraId="3BB84C50">
            <w:pPr>
              <w:adjustRightInd w:val="0"/>
              <w:spacing w:line="360" w:lineRule="auto"/>
              <w:jc w:val="center"/>
              <w:textAlignment w:val="baseline"/>
              <w:rPr>
                <w:rFonts w:hint="eastAsia" w:ascii="宋体" w:hAnsi="宋体" w:eastAsia="宋体" w:cs="宋体"/>
                <w:color w:val="auto"/>
                <w:sz w:val="24"/>
                <w:szCs w:val="24"/>
                <w:highlight w:val="none"/>
              </w:rPr>
            </w:pPr>
          </w:p>
        </w:tc>
        <w:tc>
          <w:tcPr>
            <w:tcW w:w="1257" w:type="dxa"/>
            <w:vMerge w:val="continue"/>
            <w:tcBorders>
              <w:right w:val="single" w:color="auto" w:sz="4" w:space="0"/>
            </w:tcBorders>
            <w:noWrap w:val="0"/>
            <w:vAlign w:val="center"/>
          </w:tcPr>
          <w:p w14:paraId="5DDE05ED">
            <w:pPr>
              <w:adjustRightInd w:val="0"/>
              <w:spacing w:line="360" w:lineRule="auto"/>
              <w:jc w:val="center"/>
              <w:textAlignment w:val="baseline"/>
              <w:rPr>
                <w:rFonts w:hint="eastAsia" w:ascii="宋体" w:hAnsi="宋体" w:eastAsia="宋体" w:cs="宋体"/>
                <w:color w:val="auto"/>
                <w:sz w:val="24"/>
                <w:szCs w:val="24"/>
                <w:highlight w:val="none"/>
              </w:rPr>
            </w:pPr>
          </w:p>
        </w:tc>
        <w:tc>
          <w:tcPr>
            <w:tcW w:w="2013" w:type="dxa"/>
            <w:tcBorders>
              <w:top w:val="single" w:color="auto" w:sz="4" w:space="0"/>
              <w:left w:val="single" w:color="auto" w:sz="4" w:space="0"/>
              <w:bottom w:val="single" w:color="auto" w:sz="4" w:space="0"/>
              <w:right w:val="single" w:color="auto" w:sz="4" w:space="0"/>
            </w:tcBorders>
            <w:noWrap w:val="0"/>
            <w:vAlign w:val="center"/>
          </w:tcPr>
          <w:p w14:paraId="23B63330">
            <w:pPr>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投标文件格式</w:t>
            </w:r>
          </w:p>
        </w:tc>
        <w:tc>
          <w:tcPr>
            <w:tcW w:w="5374" w:type="dxa"/>
            <w:tcBorders>
              <w:top w:val="single" w:color="auto" w:sz="4" w:space="0"/>
              <w:left w:val="single" w:color="auto" w:sz="4" w:space="0"/>
              <w:bottom w:val="single" w:color="auto" w:sz="4" w:space="0"/>
            </w:tcBorders>
            <w:noWrap w:val="0"/>
            <w:vAlign w:val="center"/>
          </w:tcPr>
          <w:p w14:paraId="3CB007FE">
            <w:pPr>
              <w:adjustRightInd w:val="0"/>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符合第六章“投标文件格式”的要求</w:t>
            </w:r>
          </w:p>
        </w:tc>
      </w:tr>
      <w:tr w14:paraId="36CEE2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955" w:type="dxa"/>
            <w:vMerge w:val="continue"/>
            <w:tcBorders>
              <w:right w:val="single" w:color="auto" w:sz="4" w:space="0"/>
            </w:tcBorders>
            <w:noWrap w:val="0"/>
            <w:vAlign w:val="bottom"/>
          </w:tcPr>
          <w:p w14:paraId="10C55D9E">
            <w:pPr>
              <w:adjustRightInd w:val="0"/>
              <w:spacing w:line="360" w:lineRule="auto"/>
              <w:jc w:val="center"/>
              <w:textAlignment w:val="baseline"/>
              <w:rPr>
                <w:rFonts w:hint="eastAsia" w:ascii="宋体" w:hAnsi="宋体" w:eastAsia="宋体" w:cs="宋体"/>
                <w:color w:val="auto"/>
                <w:sz w:val="24"/>
                <w:szCs w:val="24"/>
                <w:highlight w:val="none"/>
              </w:rPr>
            </w:pPr>
          </w:p>
        </w:tc>
        <w:tc>
          <w:tcPr>
            <w:tcW w:w="1257" w:type="dxa"/>
            <w:vMerge w:val="continue"/>
            <w:tcBorders>
              <w:right w:val="single" w:color="auto" w:sz="4" w:space="0"/>
            </w:tcBorders>
            <w:noWrap w:val="0"/>
            <w:vAlign w:val="center"/>
          </w:tcPr>
          <w:p w14:paraId="2B9BAB6F">
            <w:pPr>
              <w:adjustRightInd w:val="0"/>
              <w:spacing w:line="360" w:lineRule="auto"/>
              <w:jc w:val="center"/>
              <w:textAlignment w:val="baseline"/>
              <w:rPr>
                <w:rFonts w:hint="eastAsia" w:ascii="宋体" w:hAnsi="宋体" w:eastAsia="宋体" w:cs="宋体"/>
                <w:color w:val="auto"/>
                <w:sz w:val="24"/>
                <w:szCs w:val="24"/>
                <w:highlight w:val="none"/>
              </w:rPr>
            </w:pPr>
          </w:p>
        </w:tc>
        <w:tc>
          <w:tcPr>
            <w:tcW w:w="2013" w:type="dxa"/>
            <w:tcBorders>
              <w:top w:val="single" w:color="auto" w:sz="4" w:space="0"/>
              <w:left w:val="single" w:color="auto" w:sz="4" w:space="0"/>
              <w:bottom w:val="single" w:color="auto" w:sz="4" w:space="0"/>
              <w:right w:val="single" w:color="auto" w:sz="4" w:space="0"/>
            </w:tcBorders>
            <w:noWrap w:val="0"/>
            <w:vAlign w:val="center"/>
          </w:tcPr>
          <w:p w14:paraId="0F027B91">
            <w:pPr>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报价唯一</w:t>
            </w:r>
          </w:p>
        </w:tc>
        <w:tc>
          <w:tcPr>
            <w:tcW w:w="5374" w:type="dxa"/>
            <w:tcBorders>
              <w:top w:val="single" w:color="auto" w:sz="4" w:space="0"/>
              <w:left w:val="single" w:color="auto" w:sz="4" w:space="0"/>
              <w:bottom w:val="single" w:color="auto" w:sz="4" w:space="0"/>
            </w:tcBorders>
            <w:noWrap w:val="0"/>
            <w:vAlign w:val="center"/>
          </w:tcPr>
          <w:p w14:paraId="16EA81B2">
            <w:pPr>
              <w:adjustRightInd w:val="0"/>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只能有一个有效报价</w:t>
            </w:r>
          </w:p>
        </w:tc>
      </w:tr>
      <w:tr w14:paraId="2B006D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06" w:hRule="atLeast"/>
          <w:jc w:val="center"/>
        </w:trPr>
        <w:tc>
          <w:tcPr>
            <w:tcW w:w="955" w:type="dxa"/>
            <w:vMerge w:val="restart"/>
            <w:tcBorders>
              <w:top w:val="single" w:color="auto" w:sz="4" w:space="0"/>
              <w:right w:val="single" w:color="auto" w:sz="4" w:space="0"/>
            </w:tcBorders>
            <w:noWrap w:val="0"/>
            <w:vAlign w:val="center"/>
          </w:tcPr>
          <w:p w14:paraId="7EA1C88B">
            <w:pPr>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3.1.2</w:t>
            </w:r>
          </w:p>
        </w:tc>
        <w:tc>
          <w:tcPr>
            <w:tcW w:w="1257" w:type="dxa"/>
            <w:vMerge w:val="restart"/>
            <w:tcBorders>
              <w:top w:val="single" w:color="auto" w:sz="4" w:space="0"/>
              <w:right w:val="single" w:color="auto" w:sz="4" w:space="0"/>
            </w:tcBorders>
            <w:noWrap w:val="0"/>
            <w:vAlign w:val="center"/>
          </w:tcPr>
          <w:p w14:paraId="2275E6B7">
            <w:pPr>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资格评审标准（由采购人对投标单位进行资格审查）</w:t>
            </w:r>
          </w:p>
        </w:tc>
        <w:tc>
          <w:tcPr>
            <w:tcW w:w="2013" w:type="dxa"/>
            <w:tcBorders>
              <w:top w:val="single" w:color="auto" w:sz="4" w:space="0"/>
              <w:left w:val="single" w:color="auto" w:sz="4" w:space="0"/>
            </w:tcBorders>
            <w:noWrap w:val="0"/>
            <w:vAlign w:val="center"/>
          </w:tcPr>
          <w:p w14:paraId="2C112D89">
            <w:pPr>
              <w:keepNext w:val="0"/>
              <w:keepLines w:val="0"/>
              <w:pageBreakBefore w:val="0"/>
              <w:widowControl w:val="0"/>
              <w:kinsoku/>
              <w:wordWrap/>
              <w:overflowPunct/>
              <w:topLinePunct w:val="0"/>
              <w:autoSpaceDE/>
              <w:autoSpaceDN/>
              <w:bidi w:val="0"/>
              <w:adjustRightInd w:val="0"/>
              <w:snapToGrid/>
              <w:spacing w:line="400" w:lineRule="exact"/>
              <w:jc w:val="center"/>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供应商符合《中华人民共和国政府采购法》第二十二条规定条件</w:t>
            </w:r>
          </w:p>
        </w:tc>
        <w:tc>
          <w:tcPr>
            <w:tcW w:w="5374" w:type="dxa"/>
            <w:tcBorders>
              <w:top w:val="single" w:color="auto" w:sz="4" w:space="0"/>
              <w:left w:val="single" w:color="auto" w:sz="4" w:space="0"/>
            </w:tcBorders>
            <w:noWrap w:val="0"/>
            <w:vAlign w:val="center"/>
          </w:tcPr>
          <w:p w14:paraId="17270332">
            <w:pPr>
              <w:keepNext w:val="0"/>
              <w:keepLines w:val="0"/>
              <w:pageBreakBefore w:val="0"/>
              <w:widowControl w:val="0"/>
              <w:kinsoku/>
              <w:wordWrap/>
              <w:overflowPunct/>
              <w:topLinePunct w:val="0"/>
              <w:autoSpaceDE/>
              <w:autoSpaceDN/>
              <w:bidi w:val="0"/>
              <w:adjustRightInd w:val="0"/>
              <w:snapToGrid/>
              <w:spacing w:line="400" w:lineRule="exact"/>
              <w:jc w:val="both"/>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供应商满足《中华人民共和国政府采购法》第二十二条规定条件（相关证明资料或承诺书）</w:t>
            </w:r>
          </w:p>
        </w:tc>
      </w:tr>
      <w:tr w14:paraId="76FEFF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2" w:hRule="atLeast"/>
          <w:jc w:val="center"/>
        </w:trPr>
        <w:tc>
          <w:tcPr>
            <w:tcW w:w="955" w:type="dxa"/>
            <w:vMerge w:val="continue"/>
            <w:tcBorders>
              <w:right w:val="single" w:color="auto" w:sz="4" w:space="0"/>
            </w:tcBorders>
            <w:noWrap w:val="0"/>
            <w:vAlign w:val="center"/>
          </w:tcPr>
          <w:p w14:paraId="264F045C">
            <w:pPr>
              <w:adjustRightInd w:val="0"/>
              <w:spacing w:line="360" w:lineRule="auto"/>
              <w:jc w:val="center"/>
              <w:textAlignment w:val="baseline"/>
              <w:rPr>
                <w:rFonts w:hint="eastAsia" w:ascii="宋体" w:hAnsi="宋体" w:eastAsia="宋体" w:cs="宋体"/>
                <w:color w:val="auto"/>
                <w:sz w:val="24"/>
                <w:szCs w:val="24"/>
                <w:highlight w:val="none"/>
              </w:rPr>
            </w:pPr>
          </w:p>
        </w:tc>
        <w:tc>
          <w:tcPr>
            <w:tcW w:w="1257" w:type="dxa"/>
            <w:vMerge w:val="continue"/>
            <w:tcBorders>
              <w:right w:val="single" w:color="auto" w:sz="4" w:space="0"/>
            </w:tcBorders>
            <w:noWrap w:val="0"/>
            <w:vAlign w:val="center"/>
          </w:tcPr>
          <w:p w14:paraId="076A0A66">
            <w:pPr>
              <w:adjustRightInd w:val="0"/>
              <w:spacing w:line="360" w:lineRule="auto"/>
              <w:jc w:val="center"/>
              <w:textAlignment w:val="baseline"/>
              <w:rPr>
                <w:rFonts w:hint="eastAsia" w:ascii="宋体" w:hAnsi="宋体" w:eastAsia="宋体" w:cs="宋体"/>
                <w:color w:val="auto"/>
                <w:sz w:val="24"/>
                <w:szCs w:val="24"/>
                <w:highlight w:val="none"/>
              </w:rPr>
            </w:pPr>
          </w:p>
        </w:tc>
        <w:tc>
          <w:tcPr>
            <w:tcW w:w="2013" w:type="dxa"/>
            <w:tcBorders>
              <w:top w:val="single" w:color="auto" w:sz="4" w:space="0"/>
              <w:left w:val="single" w:color="auto" w:sz="4" w:space="0"/>
            </w:tcBorders>
            <w:noWrap w:val="0"/>
            <w:vAlign w:val="center"/>
          </w:tcPr>
          <w:p w14:paraId="4D3E1DE3">
            <w:pPr>
              <w:keepNext w:val="0"/>
              <w:keepLines w:val="0"/>
              <w:pageBreakBefore w:val="0"/>
              <w:widowControl w:val="0"/>
              <w:kinsoku/>
              <w:wordWrap/>
              <w:overflowPunct/>
              <w:topLinePunct w:val="0"/>
              <w:autoSpaceDE/>
              <w:autoSpaceDN/>
              <w:bidi w:val="0"/>
              <w:adjustRightInd w:val="0"/>
              <w:snapToGrid/>
              <w:spacing w:line="400" w:lineRule="exact"/>
              <w:jc w:val="center"/>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营业执照</w:t>
            </w:r>
          </w:p>
        </w:tc>
        <w:tc>
          <w:tcPr>
            <w:tcW w:w="5374" w:type="dxa"/>
            <w:tcBorders>
              <w:top w:val="single" w:color="auto" w:sz="4" w:space="0"/>
              <w:left w:val="single" w:color="auto" w:sz="4" w:space="0"/>
            </w:tcBorders>
            <w:noWrap w:val="0"/>
            <w:vAlign w:val="center"/>
          </w:tcPr>
          <w:p w14:paraId="02688D5C">
            <w:pPr>
              <w:keepNext w:val="0"/>
              <w:keepLines w:val="0"/>
              <w:pageBreakBefore w:val="0"/>
              <w:widowControl w:val="0"/>
              <w:kinsoku/>
              <w:wordWrap/>
              <w:overflowPunct/>
              <w:topLinePunct w:val="0"/>
              <w:autoSpaceDE/>
              <w:autoSpaceDN/>
              <w:bidi w:val="0"/>
              <w:adjustRightInd w:val="0"/>
              <w:snapToGrid/>
              <w:spacing w:line="400" w:lineRule="exact"/>
              <w:jc w:val="both"/>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供应商具有有效的营业执照；</w:t>
            </w:r>
          </w:p>
        </w:tc>
      </w:tr>
      <w:tr w14:paraId="3A61D9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32" w:hRule="atLeast"/>
          <w:jc w:val="center"/>
        </w:trPr>
        <w:tc>
          <w:tcPr>
            <w:tcW w:w="955" w:type="dxa"/>
            <w:vMerge w:val="continue"/>
            <w:tcBorders>
              <w:top w:val="single" w:color="auto" w:sz="4" w:space="0"/>
              <w:right w:val="single" w:color="auto" w:sz="4" w:space="0"/>
            </w:tcBorders>
            <w:noWrap w:val="0"/>
            <w:vAlign w:val="center"/>
          </w:tcPr>
          <w:p w14:paraId="7A4C0BC9">
            <w:pPr>
              <w:adjustRightInd w:val="0"/>
              <w:spacing w:line="360" w:lineRule="auto"/>
              <w:jc w:val="center"/>
              <w:textAlignment w:val="baseline"/>
              <w:rPr>
                <w:rFonts w:hint="eastAsia" w:ascii="宋体" w:hAnsi="宋体" w:eastAsia="宋体" w:cs="宋体"/>
                <w:color w:val="auto"/>
                <w:sz w:val="24"/>
                <w:szCs w:val="24"/>
                <w:highlight w:val="none"/>
              </w:rPr>
            </w:pPr>
          </w:p>
        </w:tc>
        <w:tc>
          <w:tcPr>
            <w:tcW w:w="1257" w:type="dxa"/>
            <w:vMerge w:val="continue"/>
            <w:tcBorders>
              <w:top w:val="single" w:color="auto" w:sz="4" w:space="0"/>
              <w:right w:val="single" w:color="auto" w:sz="4" w:space="0"/>
            </w:tcBorders>
            <w:noWrap w:val="0"/>
            <w:vAlign w:val="center"/>
          </w:tcPr>
          <w:p w14:paraId="63BE09C5">
            <w:pPr>
              <w:adjustRightInd w:val="0"/>
              <w:spacing w:line="360" w:lineRule="auto"/>
              <w:jc w:val="center"/>
              <w:textAlignment w:val="baseline"/>
              <w:rPr>
                <w:rFonts w:hint="eastAsia" w:ascii="宋体" w:hAnsi="宋体" w:eastAsia="宋体" w:cs="宋体"/>
                <w:color w:val="auto"/>
                <w:sz w:val="24"/>
                <w:szCs w:val="24"/>
                <w:highlight w:val="none"/>
              </w:rPr>
            </w:pPr>
          </w:p>
        </w:tc>
        <w:tc>
          <w:tcPr>
            <w:tcW w:w="2013" w:type="dxa"/>
            <w:tcBorders>
              <w:top w:val="single" w:color="auto" w:sz="4" w:space="0"/>
              <w:left w:val="single" w:color="auto" w:sz="4" w:space="0"/>
            </w:tcBorders>
            <w:noWrap w:val="0"/>
            <w:vAlign w:val="center"/>
          </w:tcPr>
          <w:p w14:paraId="06ECF482">
            <w:pPr>
              <w:keepNext w:val="0"/>
              <w:keepLines w:val="0"/>
              <w:pageBreakBefore w:val="0"/>
              <w:widowControl w:val="0"/>
              <w:kinsoku/>
              <w:wordWrap/>
              <w:overflowPunct/>
              <w:topLinePunct w:val="0"/>
              <w:autoSpaceDE/>
              <w:autoSpaceDN/>
              <w:bidi w:val="0"/>
              <w:adjustRightInd w:val="0"/>
              <w:snapToGrid/>
              <w:spacing w:line="400" w:lineRule="exact"/>
              <w:jc w:val="center"/>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无行贿查询</w:t>
            </w:r>
          </w:p>
        </w:tc>
        <w:tc>
          <w:tcPr>
            <w:tcW w:w="5374" w:type="dxa"/>
            <w:tcBorders>
              <w:top w:val="single" w:color="auto" w:sz="4" w:space="0"/>
              <w:left w:val="single" w:color="auto" w:sz="4" w:space="0"/>
            </w:tcBorders>
            <w:noWrap w:val="0"/>
            <w:vAlign w:val="center"/>
          </w:tcPr>
          <w:p w14:paraId="728B4531">
            <w:pPr>
              <w:keepNext w:val="0"/>
              <w:keepLines w:val="0"/>
              <w:pageBreakBefore w:val="0"/>
              <w:widowControl w:val="0"/>
              <w:kinsoku/>
              <w:wordWrap/>
              <w:overflowPunct/>
              <w:topLinePunct w:val="0"/>
              <w:autoSpaceDE/>
              <w:autoSpaceDN/>
              <w:bidi w:val="0"/>
              <w:adjustRightInd w:val="0"/>
              <w:snapToGrid/>
              <w:spacing w:line="400" w:lineRule="exact"/>
              <w:jc w:val="both"/>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提供供应商企业、法定代表人无行贿犯罪记录，在中国裁判文书网查询（提供网页查询截图）或供应商自行承诺</w:t>
            </w:r>
          </w:p>
        </w:tc>
      </w:tr>
      <w:tr w14:paraId="3B95D5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9" w:hRule="atLeast"/>
          <w:jc w:val="center"/>
        </w:trPr>
        <w:tc>
          <w:tcPr>
            <w:tcW w:w="955" w:type="dxa"/>
            <w:vMerge w:val="continue"/>
            <w:tcBorders>
              <w:right w:val="single" w:color="auto" w:sz="4" w:space="0"/>
            </w:tcBorders>
            <w:noWrap w:val="0"/>
            <w:vAlign w:val="center"/>
          </w:tcPr>
          <w:p w14:paraId="5B0E7F9D">
            <w:pPr>
              <w:adjustRightInd w:val="0"/>
              <w:spacing w:line="360" w:lineRule="auto"/>
              <w:jc w:val="center"/>
              <w:textAlignment w:val="baseline"/>
              <w:rPr>
                <w:rFonts w:hint="eastAsia" w:ascii="宋体" w:hAnsi="宋体" w:eastAsia="宋体" w:cs="宋体"/>
                <w:color w:val="auto"/>
                <w:sz w:val="24"/>
                <w:szCs w:val="24"/>
                <w:highlight w:val="none"/>
              </w:rPr>
            </w:pPr>
          </w:p>
        </w:tc>
        <w:tc>
          <w:tcPr>
            <w:tcW w:w="1257" w:type="dxa"/>
            <w:vMerge w:val="continue"/>
            <w:tcBorders>
              <w:right w:val="single" w:color="auto" w:sz="4" w:space="0"/>
            </w:tcBorders>
            <w:noWrap w:val="0"/>
            <w:vAlign w:val="center"/>
          </w:tcPr>
          <w:p w14:paraId="738540FB">
            <w:pPr>
              <w:adjustRightInd w:val="0"/>
              <w:spacing w:line="360" w:lineRule="auto"/>
              <w:jc w:val="center"/>
              <w:textAlignment w:val="baseline"/>
              <w:rPr>
                <w:rFonts w:hint="eastAsia" w:ascii="宋体" w:hAnsi="宋体" w:eastAsia="宋体" w:cs="宋体"/>
                <w:color w:val="auto"/>
                <w:sz w:val="24"/>
                <w:szCs w:val="24"/>
                <w:highlight w:val="none"/>
              </w:rPr>
            </w:pPr>
          </w:p>
        </w:tc>
        <w:tc>
          <w:tcPr>
            <w:tcW w:w="2013" w:type="dxa"/>
            <w:tcBorders>
              <w:top w:val="single" w:color="auto" w:sz="4" w:space="0"/>
              <w:left w:val="single" w:color="auto" w:sz="4" w:space="0"/>
            </w:tcBorders>
            <w:noWrap w:val="0"/>
            <w:vAlign w:val="center"/>
          </w:tcPr>
          <w:p w14:paraId="5897FB27">
            <w:pPr>
              <w:keepNext w:val="0"/>
              <w:keepLines w:val="0"/>
              <w:pageBreakBefore w:val="0"/>
              <w:widowControl w:val="0"/>
              <w:kinsoku/>
              <w:wordWrap/>
              <w:overflowPunct/>
              <w:topLinePunct w:val="0"/>
              <w:autoSpaceDE/>
              <w:autoSpaceDN/>
              <w:bidi w:val="0"/>
              <w:adjustRightInd w:val="0"/>
              <w:snapToGrid/>
              <w:spacing w:line="400" w:lineRule="exact"/>
              <w:jc w:val="center"/>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无商业贿赂和不正当竞争行为</w:t>
            </w:r>
          </w:p>
        </w:tc>
        <w:tc>
          <w:tcPr>
            <w:tcW w:w="5374" w:type="dxa"/>
            <w:tcBorders>
              <w:top w:val="single" w:color="auto" w:sz="4" w:space="0"/>
              <w:left w:val="single" w:color="auto" w:sz="4" w:space="0"/>
            </w:tcBorders>
            <w:noWrap w:val="0"/>
            <w:vAlign w:val="center"/>
          </w:tcPr>
          <w:p w14:paraId="5FCBBB00">
            <w:pPr>
              <w:keepNext w:val="0"/>
              <w:keepLines w:val="0"/>
              <w:pageBreakBefore w:val="0"/>
              <w:widowControl w:val="0"/>
              <w:kinsoku/>
              <w:wordWrap/>
              <w:overflowPunct/>
              <w:topLinePunct w:val="0"/>
              <w:autoSpaceDE/>
              <w:autoSpaceDN/>
              <w:bidi w:val="0"/>
              <w:adjustRightInd w:val="0"/>
              <w:snapToGrid/>
              <w:spacing w:line="400" w:lineRule="exact"/>
              <w:jc w:val="both"/>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Times New Roman"/>
                <w:color w:val="auto"/>
                <w:sz w:val="24"/>
                <w:szCs w:val="24"/>
                <w:highlight w:val="none"/>
              </w:rPr>
              <w:t>供应商出具企业及法人代表无商业贿赂及无不正当竞争行为的承诺书</w:t>
            </w:r>
          </w:p>
        </w:tc>
      </w:tr>
      <w:tr w14:paraId="22A952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45" w:hRule="atLeast"/>
          <w:jc w:val="center"/>
        </w:trPr>
        <w:tc>
          <w:tcPr>
            <w:tcW w:w="955" w:type="dxa"/>
            <w:vMerge w:val="continue"/>
            <w:tcBorders>
              <w:right w:val="single" w:color="auto" w:sz="4" w:space="0"/>
            </w:tcBorders>
            <w:noWrap w:val="0"/>
            <w:vAlign w:val="center"/>
          </w:tcPr>
          <w:p w14:paraId="4B236E4E">
            <w:pPr>
              <w:adjustRightInd w:val="0"/>
              <w:spacing w:line="360" w:lineRule="auto"/>
              <w:jc w:val="center"/>
              <w:textAlignment w:val="baseline"/>
              <w:rPr>
                <w:rFonts w:hint="eastAsia" w:ascii="宋体" w:hAnsi="宋体" w:eastAsia="宋体" w:cs="宋体"/>
                <w:color w:val="auto"/>
                <w:sz w:val="24"/>
                <w:szCs w:val="24"/>
                <w:highlight w:val="none"/>
              </w:rPr>
            </w:pPr>
          </w:p>
        </w:tc>
        <w:tc>
          <w:tcPr>
            <w:tcW w:w="1257" w:type="dxa"/>
            <w:vMerge w:val="continue"/>
            <w:tcBorders>
              <w:right w:val="single" w:color="auto" w:sz="4" w:space="0"/>
            </w:tcBorders>
            <w:noWrap w:val="0"/>
            <w:vAlign w:val="center"/>
          </w:tcPr>
          <w:p w14:paraId="6E975DD4">
            <w:pPr>
              <w:adjustRightInd w:val="0"/>
              <w:spacing w:line="360" w:lineRule="auto"/>
              <w:jc w:val="center"/>
              <w:textAlignment w:val="baseline"/>
              <w:rPr>
                <w:rFonts w:hint="eastAsia" w:ascii="宋体" w:hAnsi="宋体" w:eastAsia="宋体" w:cs="宋体"/>
                <w:color w:val="auto"/>
                <w:sz w:val="24"/>
                <w:szCs w:val="24"/>
                <w:highlight w:val="none"/>
              </w:rPr>
            </w:pPr>
          </w:p>
        </w:tc>
        <w:tc>
          <w:tcPr>
            <w:tcW w:w="2013" w:type="dxa"/>
            <w:tcBorders>
              <w:top w:val="single" w:color="auto" w:sz="4" w:space="0"/>
              <w:left w:val="single" w:color="auto" w:sz="4" w:space="0"/>
            </w:tcBorders>
            <w:noWrap w:val="0"/>
            <w:vAlign w:val="center"/>
          </w:tcPr>
          <w:p w14:paraId="228E6B93">
            <w:pPr>
              <w:keepNext w:val="0"/>
              <w:keepLines w:val="0"/>
              <w:pageBreakBefore w:val="0"/>
              <w:widowControl w:val="0"/>
              <w:kinsoku/>
              <w:wordWrap/>
              <w:overflowPunct/>
              <w:topLinePunct w:val="0"/>
              <w:autoSpaceDE/>
              <w:autoSpaceDN/>
              <w:bidi w:val="0"/>
              <w:adjustRightInd w:val="0"/>
              <w:snapToGrid/>
              <w:spacing w:line="400" w:lineRule="exact"/>
              <w:jc w:val="center"/>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信用中国</w:t>
            </w:r>
          </w:p>
        </w:tc>
        <w:tc>
          <w:tcPr>
            <w:tcW w:w="5374" w:type="dxa"/>
            <w:tcBorders>
              <w:top w:val="single" w:color="auto" w:sz="4" w:space="0"/>
              <w:left w:val="single" w:color="auto" w:sz="4" w:space="0"/>
            </w:tcBorders>
            <w:noWrap w:val="0"/>
            <w:vAlign w:val="center"/>
          </w:tcPr>
          <w:p w14:paraId="7F53E9D9">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Times New Roman"/>
                <w:color w:val="auto"/>
                <w:sz w:val="24"/>
                <w:szCs w:val="24"/>
                <w:highlight w:val="none"/>
              </w:rPr>
              <w:t>未列入“中国执行信息公开网”http://zxgk.court.gov.cn/shixin网站的“失信被执行人”名单、“信用中国”www.creditchina.gov.cn网站的“重大税收违法失信主体”及“中国政府采购网”www.ccgp.gov.cn网站的“政府采购严重违法失信行为记录名单”；（提供“中国执行信息公开网”、“信用中国”和“中国政府采购网”网站的查询信息截图，加盖单位公章，截图需显示查询时间，查询时间：自公告发布之日起至投标截止时间前）；</w:t>
            </w:r>
          </w:p>
        </w:tc>
      </w:tr>
      <w:tr w14:paraId="2D5B0F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91" w:hRule="atLeast"/>
          <w:jc w:val="center"/>
        </w:trPr>
        <w:tc>
          <w:tcPr>
            <w:tcW w:w="955" w:type="dxa"/>
            <w:vMerge w:val="continue"/>
            <w:tcBorders>
              <w:right w:val="single" w:color="auto" w:sz="4" w:space="0"/>
            </w:tcBorders>
            <w:noWrap w:val="0"/>
            <w:vAlign w:val="center"/>
          </w:tcPr>
          <w:p w14:paraId="1CF34658">
            <w:pPr>
              <w:adjustRightInd w:val="0"/>
              <w:spacing w:line="360" w:lineRule="auto"/>
              <w:jc w:val="center"/>
              <w:textAlignment w:val="baseline"/>
              <w:rPr>
                <w:rFonts w:hint="eastAsia" w:ascii="宋体" w:hAnsi="宋体" w:eastAsia="宋体" w:cs="宋体"/>
                <w:color w:val="auto"/>
                <w:sz w:val="24"/>
                <w:szCs w:val="24"/>
                <w:highlight w:val="none"/>
              </w:rPr>
            </w:pPr>
          </w:p>
        </w:tc>
        <w:tc>
          <w:tcPr>
            <w:tcW w:w="1257" w:type="dxa"/>
            <w:vMerge w:val="continue"/>
            <w:tcBorders>
              <w:right w:val="single" w:color="auto" w:sz="4" w:space="0"/>
            </w:tcBorders>
            <w:noWrap w:val="0"/>
            <w:vAlign w:val="center"/>
          </w:tcPr>
          <w:p w14:paraId="5D6DD272">
            <w:pPr>
              <w:adjustRightInd w:val="0"/>
              <w:spacing w:line="360" w:lineRule="auto"/>
              <w:jc w:val="center"/>
              <w:textAlignment w:val="baseline"/>
              <w:rPr>
                <w:rFonts w:hint="eastAsia" w:ascii="宋体" w:hAnsi="宋体" w:eastAsia="宋体" w:cs="宋体"/>
                <w:color w:val="auto"/>
                <w:sz w:val="24"/>
                <w:szCs w:val="24"/>
                <w:highlight w:val="none"/>
              </w:rPr>
            </w:pPr>
          </w:p>
        </w:tc>
        <w:tc>
          <w:tcPr>
            <w:tcW w:w="2013" w:type="dxa"/>
            <w:tcBorders>
              <w:top w:val="single" w:color="auto" w:sz="4" w:space="0"/>
              <w:left w:val="single" w:color="auto" w:sz="4" w:space="0"/>
            </w:tcBorders>
            <w:noWrap w:val="0"/>
            <w:vAlign w:val="center"/>
          </w:tcPr>
          <w:p w14:paraId="3ED1FC50">
            <w:pPr>
              <w:keepNext w:val="0"/>
              <w:keepLines w:val="0"/>
              <w:pageBreakBefore w:val="0"/>
              <w:widowControl w:val="0"/>
              <w:kinsoku/>
              <w:wordWrap/>
              <w:overflowPunct/>
              <w:topLinePunct w:val="0"/>
              <w:autoSpaceDE/>
              <w:autoSpaceDN/>
              <w:bidi w:val="0"/>
              <w:adjustRightInd w:val="0"/>
              <w:snapToGrid/>
              <w:spacing w:line="400" w:lineRule="exact"/>
              <w:jc w:val="center"/>
              <w:textAlignment w:val="baseline"/>
              <w:rPr>
                <w:rFonts w:hint="default" w:ascii="宋体" w:hAnsi="宋体" w:eastAsia="宋体" w:cs="宋体"/>
                <w:color w:val="auto"/>
                <w:kern w:val="2"/>
                <w:sz w:val="24"/>
                <w:szCs w:val="24"/>
                <w:highlight w:val="none"/>
                <w:lang w:val="en-US" w:eastAsia="zh-CN" w:bidi="ar-SA"/>
              </w:rPr>
            </w:pPr>
            <w:r>
              <w:rPr>
                <w:rFonts w:hint="eastAsia" w:ascii="宋体" w:hAnsi="宋体" w:eastAsia="宋体" w:cs="Times New Roman"/>
                <w:color w:val="auto"/>
                <w:sz w:val="24"/>
                <w:szCs w:val="24"/>
                <w:highlight w:val="none"/>
                <w:lang w:val="en-US" w:eastAsia="zh-CN"/>
              </w:rPr>
              <w:t>国家企业信用信息公示系统查询</w:t>
            </w:r>
          </w:p>
        </w:tc>
        <w:tc>
          <w:tcPr>
            <w:tcW w:w="5374" w:type="dxa"/>
            <w:tcBorders>
              <w:top w:val="single" w:color="auto" w:sz="4" w:space="0"/>
              <w:left w:val="single" w:color="auto" w:sz="4" w:space="0"/>
            </w:tcBorders>
            <w:noWrap w:val="0"/>
            <w:vAlign w:val="center"/>
          </w:tcPr>
          <w:p w14:paraId="4219AA10">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单位负责人为同一人或者存在直接控股、管理关系的不同投标人，不得参加同一合同项下的采购活动；（提供“国家企业信用信息公示系统”中查询打印的相关信息并加盖公章（查询信息需包含公司基本信息、股东信息及股权变更信息等相关信息，查询日期为本项目公告发布之后至开标截止时间止））</w:t>
            </w:r>
          </w:p>
        </w:tc>
      </w:tr>
      <w:tr w14:paraId="798F6F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955" w:type="dxa"/>
            <w:vMerge w:val="continue"/>
            <w:tcBorders>
              <w:right w:val="single" w:color="auto" w:sz="4" w:space="0"/>
            </w:tcBorders>
            <w:noWrap w:val="0"/>
            <w:vAlign w:val="center"/>
          </w:tcPr>
          <w:p w14:paraId="0C76A483">
            <w:pPr>
              <w:adjustRightInd w:val="0"/>
              <w:spacing w:line="360" w:lineRule="auto"/>
              <w:jc w:val="center"/>
              <w:textAlignment w:val="baseline"/>
              <w:rPr>
                <w:rFonts w:hint="eastAsia" w:ascii="宋体" w:hAnsi="宋体" w:eastAsia="宋体" w:cs="宋体"/>
                <w:color w:val="auto"/>
                <w:sz w:val="24"/>
                <w:szCs w:val="24"/>
                <w:highlight w:val="none"/>
              </w:rPr>
            </w:pPr>
          </w:p>
        </w:tc>
        <w:tc>
          <w:tcPr>
            <w:tcW w:w="1257" w:type="dxa"/>
            <w:vMerge w:val="continue"/>
            <w:tcBorders>
              <w:bottom w:val="single" w:color="auto" w:sz="4" w:space="0"/>
              <w:right w:val="single" w:color="auto" w:sz="4" w:space="0"/>
            </w:tcBorders>
            <w:noWrap w:val="0"/>
            <w:vAlign w:val="center"/>
          </w:tcPr>
          <w:p w14:paraId="44563879">
            <w:pPr>
              <w:adjustRightInd w:val="0"/>
              <w:spacing w:line="360" w:lineRule="auto"/>
              <w:jc w:val="center"/>
              <w:textAlignment w:val="baseline"/>
              <w:rPr>
                <w:rFonts w:hint="eastAsia" w:ascii="宋体" w:hAnsi="宋体" w:eastAsia="宋体" w:cs="宋体"/>
                <w:color w:val="auto"/>
                <w:sz w:val="24"/>
                <w:szCs w:val="24"/>
                <w:highlight w:val="none"/>
              </w:rPr>
            </w:pPr>
          </w:p>
        </w:tc>
        <w:tc>
          <w:tcPr>
            <w:tcW w:w="2013" w:type="dxa"/>
            <w:tcBorders>
              <w:top w:val="single" w:color="auto" w:sz="4" w:space="0"/>
              <w:left w:val="single" w:color="auto" w:sz="4" w:space="0"/>
            </w:tcBorders>
            <w:noWrap w:val="0"/>
            <w:vAlign w:val="center"/>
          </w:tcPr>
          <w:p w14:paraId="648DF29C">
            <w:pPr>
              <w:pStyle w:val="31"/>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不接受联合体投标承诺书</w:t>
            </w:r>
          </w:p>
        </w:tc>
        <w:tc>
          <w:tcPr>
            <w:tcW w:w="5374" w:type="dxa"/>
            <w:tcBorders>
              <w:top w:val="single" w:color="auto" w:sz="4" w:space="0"/>
              <w:left w:val="single" w:color="auto" w:sz="4" w:space="0"/>
            </w:tcBorders>
            <w:noWrap w:val="0"/>
            <w:vAlign w:val="center"/>
          </w:tcPr>
          <w:p w14:paraId="4142328F">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提供不接受联合体投标承诺书；</w:t>
            </w:r>
          </w:p>
        </w:tc>
      </w:tr>
      <w:tr w14:paraId="184D34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955" w:type="dxa"/>
            <w:vMerge w:val="restart"/>
            <w:tcBorders>
              <w:top w:val="single" w:color="auto" w:sz="4" w:space="0"/>
              <w:right w:val="single" w:color="auto" w:sz="4" w:space="0"/>
            </w:tcBorders>
            <w:noWrap w:val="0"/>
            <w:vAlign w:val="center"/>
          </w:tcPr>
          <w:p w14:paraId="0FB9FC3A">
            <w:pPr>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3.1.3</w:t>
            </w:r>
          </w:p>
        </w:tc>
        <w:tc>
          <w:tcPr>
            <w:tcW w:w="1257" w:type="dxa"/>
            <w:vMerge w:val="restart"/>
            <w:tcBorders>
              <w:top w:val="single" w:color="auto" w:sz="4" w:space="0"/>
              <w:right w:val="single" w:color="auto" w:sz="4" w:space="0"/>
            </w:tcBorders>
            <w:noWrap w:val="0"/>
            <w:vAlign w:val="center"/>
          </w:tcPr>
          <w:p w14:paraId="12FE2501">
            <w:pPr>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响应性</w:t>
            </w:r>
          </w:p>
          <w:p w14:paraId="6509C10E">
            <w:pPr>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评审标准</w:t>
            </w:r>
          </w:p>
        </w:tc>
        <w:tc>
          <w:tcPr>
            <w:tcW w:w="2013" w:type="dxa"/>
            <w:tcBorders>
              <w:top w:val="single" w:color="auto" w:sz="4" w:space="0"/>
              <w:left w:val="single" w:color="auto" w:sz="4" w:space="0"/>
              <w:bottom w:val="single" w:color="auto" w:sz="4" w:space="0"/>
              <w:right w:val="single" w:color="auto" w:sz="4" w:space="0"/>
            </w:tcBorders>
            <w:noWrap w:val="0"/>
            <w:vAlign w:val="center"/>
          </w:tcPr>
          <w:p w14:paraId="244E66E4">
            <w:pPr>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交货期限</w:t>
            </w:r>
          </w:p>
        </w:tc>
        <w:tc>
          <w:tcPr>
            <w:tcW w:w="5374" w:type="dxa"/>
            <w:tcBorders>
              <w:top w:val="single" w:color="auto" w:sz="4" w:space="0"/>
              <w:left w:val="single" w:color="auto" w:sz="4" w:space="0"/>
              <w:bottom w:val="single" w:color="auto" w:sz="4" w:space="0"/>
            </w:tcBorders>
            <w:noWrap w:val="0"/>
            <w:vAlign w:val="center"/>
          </w:tcPr>
          <w:p w14:paraId="1503C6AC">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符合第二章“供应商须知前附表”的规定</w:t>
            </w:r>
          </w:p>
        </w:tc>
      </w:tr>
      <w:tr w14:paraId="6ECAE0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955" w:type="dxa"/>
            <w:vMerge w:val="continue"/>
            <w:tcBorders>
              <w:right w:val="single" w:color="auto" w:sz="4" w:space="0"/>
            </w:tcBorders>
            <w:noWrap w:val="0"/>
            <w:vAlign w:val="center"/>
          </w:tcPr>
          <w:p w14:paraId="3E0A7208">
            <w:pPr>
              <w:adjustRightInd w:val="0"/>
              <w:spacing w:line="360" w:lineRule="auto"/>
              <w:jc w:val="center"/>
              <w:textAlignment w:val="baseline"/>
              <w:rPr>
                <w:rFonts w:hint="eastAsia" w:ascii="宋体" w:hAnsi="宋体" w:eastAsia="宋体" w:cs="宋体"/>
                <w:color w:val="auto"/>
                <w:sz w:val="24"/>
                <w:szCs w:val="24"/>
                <w:highlight w:val="none"/>
              </w:rPr>
            </w:pPr>
          </w:p>
        </w:tc>
        <w:tc>
          <w:tcPr>
            <w:tcW w:w="1257" w:type="dxa"/>
            <w:vMerge w:val="continue"/>
            <w:tcBorders>
              <w:right w:val="single" w:color="auto" w:sz="4" w:space="0"/>
            </w:tcBorders>
            <w:noWrap w:val="0"/>
            <w:vAlign w:val="center"/>
          </w:tcPr>
          <w:p w14:paraId="6BD08D23">
            <w:pPr>
              <w:adjustRightInd w:val="0"/>
              <w:spacing w:line="360" w:lineRule="auto"/>
              <w:jc w:val="center"/>
              <w:textAlignment w:val="baseline"/>
              <w:rPr>
                <w:rFonts w:hint="eastAsia" w:ascii="宋体" w:hAnsi="宋体" w:eastAsia="宋体" w:cs="宋体"/>
                <w:color w:val="auto"/>
                <w:sz w:val="24"/>
                <w:szCs w:val="24"/>
                <w:highlight w:val="none"/>
              </w:rPr>
            </w:pPr>
          </w:p>
        </w:tc>
        <w:tc>
          <w:tcPr>
            <w:tcW w:w="2013" w:type="dxa"/>
            <w:tcBorders>
              <w:top w:val="single" w:color="auto" w:sz="4" w:space="0"/>
              <w:left w:val="single" w:color="auto" w:sz="4" w:space="0"/>
              <w:bottom w:val="single" w:color="auto" w:sz="4" w:space="0"/>
              <w:right w:val="single" w:color="auto" w:sz="4" w:space="0"/>
            </w:tcBorders>
            <w:noWrap w:val="0"/>
            <w:vAlign w:val="center"/>
          </w:tcPr>
          <w:p w14:paraId="43C6E5E6">
            <w:pPr>
              <w:adjustRightInd w:val="0"/>
              <w:spacing w:line="360" w:lineRule="auto"/>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质保期</w:t>
            </w:r>
          </w:p>
        </w:tc>
        <w:tc>
          <w:tcPr>
            <w:tcW w:w="5374" w:type="dxa"/>
            <w:tcBorders>
              <w:top w:val="single" w:color="auto" w:sz="4" w:space="0"/>
              <w:left w:val="single" w:color="auto" w:sz="4" w:space="0"/>
              <w:bottom w:val="single" w:color="auto" w:sz="4" w:space="0"/>
            </w:tcBorders>
            <w:noWrap w:val="0"/>
            <w:vAlign w:val="center"/>
          </w:tcPr>
          <w:p w14:paraId="754E2FB1">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符合第二章“供应商须知前附表”的规定</w:t>
            </w:r>
          </w:p>
        </w:tc>
      </w:tr>
      <w:tr w14:paraId="4D1CA4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955" w:type="dxa"/>
            <w:vMerge w:val="continue"/>
            <w:tcBorders>
              <w:right w:val="single" w:color="auto" w:sz="4" w:space="0"/>
            </w:tcBorders>
            <w:noWrap w:val="0"/>
            <w:vAlign w:val="top"/>
          </w:tcPr>
          <w:p w14:paraId="3D6538D3">
            <w:pPr>
              <w:adjustRightInd w:val="0"/>
              <w:spacing w:line="360" w:lineRule="auto"/>
              <w:jc w:val="center"/>
              <w:textAlignment w:val="baseline"/>
              <w:rPr>
                <w:rFonts w:hint="eastAsia" w:ascii="宋体" w:hAnsi="宋体" w:eastAsia="宋体" w:cs="宋体"/>
                <w:color w:val="auto"/>
                <w:sz w:val="24"/>
                <w:szCs w:val="24"/>
                <w:highlight w:val="none"/>
              </w:rPr>
            </w:pPr>
          </w:p>
        </w:tc>
        <w:tc>
          <w:tcPr>
            <w:tcW w:w="1257" w:type="dxa"/>
            <w:vMerge w:val="continue"/>
            <w:tcBorders>
              <w:right w:val="single" w:color="auto" w:sz="4" w:space="0"/>
            </w:tcBorders>
            <w:noWrap w:val="0"/>
            <w:vAlign w:val="center"/>
          </w:tcPr>
          <w:p w14:paraId="5BCC4609">
            <w:pPr>
              <w:adjustRightInd w:val="0"/>
              <w:spacing w:line="360" w:lineRule="auto"/>
              <w:jc w:val="center"/>
              <w:textAlignment w:val="baseline"/>
              <w:rPr>
                <w:rFonts w:hint="eastAsia" w:ascii="宋体" w:hAnsi="宋体" w:eastAsia="宋体" w:cs="宋体"/>
                <w:color w:val="auto"/>
                <w:sz w:val="24"/>
                <w:szCs w:val="24"/>
                <w:highlight w:val="none"/>
              </w:rPr>
            </w:pPr>
          </w:p>
        </w:tc>
        <w:tc>
          <w:tcPr>
            <w:tcW w:w="2013" w:type="dxa"/>
            <w:tcBorders>
              <w:top w:val="single" w:color="auto" w:sz="4" w:space="0"/>
              <w:left w:val="single" w:color="auto" w:sz="4" w:space="0"/>
              <w:bottom w:val="single" w:color="auto" w:sz="4" w:space="0"/>
              <w:right w:val="single" w:color="auto" w:sz="4" w:space="0"/>
            </w:tcBorders>
            <w:noWrap w:val="0"/>
            <w:vAlign w:val="center"/>
          </w:tcPr>
          <w:p w14:paraId="2735EA5A">
            <w:pPr>
              <w:adjustRightInd w:val="0"/>
              <w:spacing w:line="360" w:lineRule="auto"/>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质量要求</w:t>
            </w:r>
          </w:p>
        </w:tc>
        <w:tc>
          <w:tcPr>
            <w:tcW w:w="5374" w:type="dxa"/>
            <w:tcBorders>
              <w:top w:val="single" w:color="auto" w:sz="4" w:space="0"/>
              <w:left w:val="single" w:color="auto" w:sz="4" w:space="0"/>
              <w:bottom w:val="single" w:color="auto" w:sz="4" w:space="0"/>
            </w:tcBorders>
            <w:noWrap w:val="0"/>
            <w:vAlign w:val="center"/>
          </w:tcPr>
          <w:p w14:paraId="33773170">
            <w:pPr>
              <w:adjustRightInd w:val="0"/>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符合第二章“供应商须知前附表”的规定</w:t>
            </w:r>
          </w:p>
        </w:tc>
      </w:tr>
      <w:tr w14:paraId="30F495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955" w:type="dxa"/>
            <w:vMerge w:val="continue"/>
            <w:tcBorders>
              <w:right w:val="single" w:color="auto" w:sz="4" w:space="0"/>
            </w:tcBorders>
            <w:noWrap w:val="0"/>
            <w:vAlign w:val="top"/>
          </w:tcPr>
          <w:p w14:paraId="0D66823E">
            <w:pPr>
              <w:adjustRightInd w:val="0"/>
              <w:spacing w:line="360" w:lineRule="auto"/>
              <w:jc w:val="center"/>
              <w:textAlignment w:val="baseline"/>
              <w:rPr>
                <w:rFonts w:hint="eastAsia" w:ascii="宋体" w:hAnsi="宋体" w:eastAsia="宋体" w:cs="宋体"/>
                <w:color w:val="auto"/>
                <w:sz w:val="24"/>
                <w:szCs w:val="24"/>
                <w:highlight w:val="none"/>
              </w:rPr>
            </w:pPr>
          </w:p>
        </w:tc>
        <w:tc>
          <w:tcPr>
            <w:tcW w:w="1257" w:type="dxa"/>
            <w:vMerge w:val="continue"/>
            <w:tcBorders>
              <w:right w:val="single" w:color="auto" w:sz="4" w:space="0"/>
            </w:tcBorders>
            <w:noWrap w:val="0"/>
            <w:vAlign w:val="center"/>
          </w:tcPr>
          <w:p w14:paraId="0A52D6D4">
            <w:pPr>
              <w:adjustRightInd w:val="0"/>
              <w:spacing w:line="360" w:lineRule="auto"/>
              <w:jc w:val="center"/>
              <w:textAlignment w:val="baseline"/>
              <w:rPr>
                <w:rFonts w:hint="eastAsia" w:ascii="宋体" w:hAnsi="宋体" w:eastAsia="宋体" w:cs="宋体"/>
                <w:color w:val="auto"/>
                <w:sz w:val="24"/>
                <w:szCs w:val="24"/>
                <w:highlight w:val="none"/>
              </w:rPr>
            </w:pPr>
          </w:p>
        </w:tc>
        <w:tc>
          <w:tcPr>
            <w:tcW w:w="2013" w:type="dxa"/>
            <w:tcBorders>
              <w:top w:val="single" w:color="auto" w:sz="4" w:space="0"/>
              <w:left w:val="single" w:color="auto" w:sz="4" w:space="0"/>
              <w:bottom w:val="single" w:color="auto" w:sz="4" w:space="0"/>
              <w:right w:val="single" w:color="auto" w:sz="4" w:space="0"/>
            </w:tcBorders>
            <w:noWrap w:val="0"/>
            <w:vAlign w:val="center"/>
          </w:tcPr>
          <w:p w14:paraId="0DD5CB5B">
            <w:pPr>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5374" w:type="dxa"/>
            <w:tcBorders>
              <w:top w:val="single" w:color="auto" w:sz="4" w:space="0"/>
              <w:left w:val="single" w:color="auto" w:sz="4" w:space="0"/>
              <w:bottom w:val="single" w:color="auto" w:sz="4" w:space="0"/>
            </w:tcBorders>
            <w:noWrap w:val="0"/>
            <w:vAlign w:val="center"/>
          </w:tcPr>
          <w:p w14:paraId="20A5F867">
            <w:pPr>
              <w:adjustRightInd w:val="0"/>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符合第二章“供应商须知前附表”的规定</w:t>
            </w:r>
          </w:p>
        </w:tc>
      </w:tr>
      <w:tr w14:paraId="2FA8F5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2" w:hRule="atLeast"/>
          <w:jc w:val="center"/>
        </w:trPr>
        <w:tc>
          <w:tcPr>
            <w:tcW w:w="955" w:type="dxa"/>
            <w:vMerge w:val="continue"/>
            <w:tcBorders>
              <w:bottom w:val="single" w:color="auto" w:sz="4" w:space="0"/>
              <w:right w:val="single" w:color="auto" w:sz="4" w:space="0"/>
            </w:tcBorders>
            <w:noWrap w:val="0"/>
            <w:vAlign w:val="top"/>
          </w:tcPr>
          <w:p w14:paraId="70CF6B59">
            <w:pPr>
              <w:adjustRightInd w:val="0"/>
              <w:spacing w:line="360" w:lineRule="auto"/>
              <w:jc w:val="center"/>
              <w:textAlignment w:val="baseline"/>
              <w:rPr>
                <w:rFonts w:hint="eastAsia" w:ascii="宋体" w:hAnsi="宋体" w:eastAsia="宋体" w:cs="宋体"/>
                <w:color w:val="auto"/>
                <w:sz w:val="24"/>
                <w:szCs w:val="24"/>
                <w:highlight w:val="none"/>
              </w:rPr>
            </w:pPr>
          </w:p>
        </w:tc>
        <w:tc>
          <w:tcPr>
            <w:tcW w:w="1257" w:type="dxa"/>
            <w:vMerge w:val="continue"/>
            <w:tcBorders>
              <w:bottom w:val="single" w:color="auto" w:sz="4" w:space="0"/>
              <w:right w:val="single" w:color="auto" w:sz="4" w:space="0"/>
            </w:tcBorders>
            <w:noWrap w:val="0"/>
            <w:vAlign w:val="center"/>
          </w:tcPr>
          <w:p w14:paraId="5AF345DD">
            <w:pPr>
              <w:adjustRightInd w:val="0"/>
              <w:spacing w:line="360" w:lineRule="auto"/>
              <w:jc w:val="center"/>
              <w:textAlignment w:val="baseline"/>
              <w:rPr>
                <w:rFonts w:hint="eastAsia" w:ascii="宋体" w:hAnsi="宋体" w:eastAsia="宋体" w:cs="宋体"/>
                <w:color w:val="auto"/>
                <w:sz w:val="24"/>
                <w:szCs w:val="24"/>
                <w:highlight w:val="none"/>
              </w:rPr>
            </w:pPr>
          </w:p>
        </w:tc>
        <w:tc>
          <w:tcPr>
            <w:tcW w:w="2013" w:type="dxa"/>
            <w:tcBorders>
              <w:top w:val="single" w:color="auto" w:sz="4" w:space="0"/>
              <w:left w:val="single" w:color="auto" w:sz="4" w:space="0"/>
              <w:bottom w:val="single" w:color="auto" w:sz="4" w:space="0"/>
              <w:right w:val="single" w:color="auto" w:sz="4" w:space="0"/>
            </w:tcBorders>
            <w:noWrap w:val="0"/>
            <w:vAlign w:val="center"/>
          </w:tcPr>
          <w:p w14:paraId="5C0E21C8">
            <w:pPr>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w:t>
            </w:r>
          </w:p>
        </w:tc>
        <w:tc>
          <w:tcPr>
            <w:tcW w:w="5374" w:type="dxa"/>
            <w:tcBorders>
              <w:top w:val="single" w:color="auto" w:sz="4" w:space="0"/>
              <w:left w:val="single" w:color="auto" w:sz="4" w:space="0"/>
              <w:bottom w:val="single" w:color="auto" w:sz="4" w:space="0"/>
            </w:tcBorders>
            <w:noWrap w:val="0"/>
            <w:vAlign w:val="center"/>
          </w:tcPr>
          <w:p w14:paraId="0D9A7224">
            <w:pPr>
              <w:adjustRightInd w:val="0"/>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未超过招标文件中规定的预算金额或者最高限价的</w:t>
            </w:r>
          </w:p>
        </w:tc>
      </w:tr>
    </w:tbl>
    <w:p w14:paraId="11789715">
      <w:pPr>
        <w:spacing w:line="360" w:lineRule="auto"/>
        <w:ind w:firstLine="480" w:firstLineChars="200"/>
        <w:rPr>
          <w:color w:val="auto"/>
          <w:sz w:val="24"/>
          <w:szCs w:val="24"/>
          <w:highlight w:val="none"/>
        </w:rPr>
      </w:pPr>
    </w:p>
    <w:p w14:paraId="3960E1B7">
      <w:pPr>
        <w:spacing w:line="360" w:lineRule="auto"/>
        <w:ind w:firstLine="480" w:firstLineChars="200"/>
        <w:outlineLvl w:val="0"/>
        <w:rPr>
          <w:color w:val="auto"/>
          <w:sz w:val="24"/>
          <w:szCs w:val="24"/>
          <w:highlight w:val="none"/>
        </w:rPr>
      </w:pPr>
      <w:bookmarkStart w:id="107" w:name="_Toc1469"/>
      <w:bookmarkStart w:id="108" w:name="_Toc5626"/>
      <w:r>
        <w:rPr>
          <w:color w:val="auto"/>
          <w:sz w:val="24"/>
          <w:szCs w:val="24"/>
          <w:highlight w:val="none"/>
        </w:rPr>
        <w:t xml:space="preserve">4. </w:t>
      </w:r>
      <w:r>
        <w:rPr>
          <w:rFonts w:hint="eastAsia" w:cs="宋体"/>
          <w:color w:val="auto"/>
          <w:sz w:val="24"/>
          <w:szCs w:val="24"/>
          <w:highlight w:val="none"/>
        </w:rPr>
        <w:t>本项目评标方法采用综合评分法。</w:t>
      </w:r>
      <w:bookmarkEnd w:id="107"/>
      <w:bookmarkEnd w:id="108"/>
    </w:p>
    <w:p w14:paraId="56C56686">
      <w:pPr>
        <w:spacing w:line="360" w:lineRule="auto"/>
        <w:ind w:firstLine="480" w:firstLineChars="200"/>
        <w:rPr>
          <w:rFonts w:hint="eastAsia" w:cs="宋体"/>
          <w:color w:val="auto"/>
          <w:sz w:val="24"/>
          <w:szCs w:val="24"/>
          <w:highlight w:val="none"/>
        </w:rPr>
      </w:pPr>
      <w:r>
        <w:rPr>
          <w:rFonts w:hint="eastAsia" w:cs="宋体"/>
          <w:color w:val="auto"/>
          <w:sz w:val="24"/>
          <w:szCs w:val="24"/>
          <w:highlight w:val="none"/>
        </w:rPr>
        <w:t>综合评分法，是指投标文件满足招标文件全部实质性要求且按照评审因素的量化指标评审得分最高的供应商为中标候选人的评标方法。</w:t>
      </w:r>
    </w:p>
    <w:tbl>
      <w:tblPr>
        <w:tblStyle w:val="18"/>
        <w:tblpPr w:leftFromText="180" w:rightFromText="180" w:vertAnchor="text" w:horzAnchor="margin" w:tblpXSpec="center" w:tblpY="172"/>
        <w:tblW w:w="9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243"/>
        <w:gridCol w:w="826"/>
        <w:gridCol w:w="6555"/>
      </w:tblGrid>
      <w:tr w14:paraId="4001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133" w:type="dxa"/>
            <w:noWrap w:val="0"/>
            <w:vAlign w:val="center"/>
          </w:tcPr>
          <w:p w14:paraId="01027AB6">
            <w:pPr>
              <w:spacing w:line="192" w:lineRule="auto"/>
              <w:jc w:val="center"/>
              <w:rPr>
                <w:rFonts w:ascii="宋体"/>
                <w:b/>
                <w:bCs/>
                <w:color w:val="auto"/>
                <w:sz w:val="24"/>
                <w:szCs w:val="24"/>
                <w:highlight w:val="none"/>
              </w:rPr>
            </w:pPr>
            <w:r>
              <w:rPr>
                <w:rFonts w:hint="eastAsia" w:ascii="宋体" w:hAnsi="宋体" w:cs="宋体"/>
                <w:b/>
                <w:bCs/>
                <w:color w:val="auto"/>
                <w:sz w:val="24"/>
                <w:szCs w:val="24"/>
                <w:highlight w:val="none"/>
              </w:rPr>
              <w:t>评分因素</w:t>
            </w:r>
          </w:p>
        </w:tc>
        <w:tc>
          <w:tcPr>
            <w:tcW w:w="1243" w:type="dxa"/>
            <w:noWrap w:val="0"/>
            <w:vAlign w:val="center"/>
          </w:tcPr>
          <w:p w14:paraId="1A8504CB">
            <w:pPr>
              <w:spacing w:line="192" w:lineRule="auto"/>
              <w:jc w:val="center"/>
              <w:rPr>
                <w:rFonts w:ascii="宋体"/>
                <w:b/>
                <w:bCs/>
                <w:color w:val="auto"/>
                <w:sz w:val="24"/>
                <w:szCs w:val="24"/>
                <w:highlight w:val="none"/>
              </w:rPr>
            </w:pPr>
            <w:r>
              <w:rPr>
                <w:rFonts w:hint="eastAsia" w:ascii="宋体" w:hAnsi="宋体" w:cs="宋体"/>
                <w:b/>
                <w:bCs/>
                <w:color w:val="auto"/>
                <w:sz w:val="24"/>
                <w:szCs w:val="24"/>
                <w:highlight w:val="none"/>
              </w:rPr>
              <w:t>评分内容</w:t>
            </w:r>
          </w:p>
        </w:tc>
        <w:tc>
          <w:tcPr>
            <w:tcW w:w="826" w:type="dxa"/>
            <w:noWrap w:val="0"/>
            <w:vAlign w:val="center"/>
          </w:tcPr>
          <w:p w14:paraId="31D9C050">
            <w:pPr>
              <w:spacing w:line="192" w:lineRule="auto"/>
              <w:jc w:val="center"/>
              <w:rPr>
                <w:rFonts w:ascii="宋体"/>
                <w:b/>
                <w:bCs/>
                <w:color w:val="auto"/>
                <w:sz w:val="24"/>
                <w:szCs w:val="24"/>
                <w:highlight w:val="none"/>
              </w:rPr>
            </w:pPr>
            <w:r>
              <w:rPr>
                <w:rFonts w:hint="eastAsia" w:ascii="宋体" w:hAnsi="宋体" w:cs="宋体"/>
                <w:b/>
                <w:bCs/>
                <w:color w:val="auto"/>
                <w:sz w:val="24"/>
                <w:szCs w:val="24"/>
                <w:highlight w:val="none"/>
              </w:rPr>
              <w:t>分值</w:t>
            </w:r>
          </w:p>
        </w:tc>
        <w:tc>
          <w:tcPr>
            <w:tcW w:w="6555" w:type="dxa"/>
            <w:noWrap w:val="0"/>
            <w:vAlign w:val="center"/>
          </w:tcPr>
          <w:p w14:paraId="78262487">
            <w:pPr>
              <w:spacing w:line="192" w:lineRule="auto"/>
              <w:ind w:firstLine="542"/>
              <w:jc w:val="center"/>
              <w:rPr>
                <w:rFonts w:ascii="宋体"/>
                <w:b/>
                <w:bCs/>
                <w:color w:val="auto"/>
                <w:sz w:val="24"/>
                <w:szCs w:val="24"/>
                <w:highlight w:val="none"/>
              </w:rPr>
            </w:pPr>
            <w:r>
              <w:rPr>
                <w:rFonts w:hint="eastAsia" w:ascii="宋体" w:hAnsi="宋体" w:cs="宋体"/>
                <w:b/>
                <w:bCs/>
                <w:color w:val="auto"/>
                <w:sz w:val="24"/>
                <w:szCs w:val="24"/>
                <w:highlight w:val="none"/>
              </w:rPr>
              <w:t>评分标准</w:t>
            </w:r>
          </w:p>
        </w:tc>
      </w:tr>
      <w:tr w14:paraId="28A0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3" w:hRule="atLeast"/>
        </w:trPr>
        <w:tc>
          <w:tcPr>
            <w:tcW w:w="1133" w:type="dxa"/>
            <w:noWrap w:val="0"/>
            <w:vAlign w:val="center"/>
          </w:tcPr>
          <w:p w14:paraId="5EB963AF">
            <w:pPr>
              <w:spacing w:line="360" w:lineRule="auto"/>
              <w:jc w:val="center"/>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商务部分</w:t>
            </w:r>
          </w:p>
          <w:p w14:paraId="2A4BC1CD">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30</w:t>
            </w:r>
            <w:r>
              <w:rPr>
                <w:rFonts w:hint="eastAsia" w:ascii="宋体" w:hAnsi="宋体"/>
                <w:color w:val="auto"/>
                <w:sz w:val="24"/>
                <w:szCs w:val="24"/>
                <w:highlight w:val="none"/>
              </w:rPr>
              <w:t>分）</w:t>
            </w:r>
          </w:p>
        </w:tc>
        <w:tc>
          <w:tcPr>
            <w:tcW w:w="1243" w:type="dxa"/>
            <w:noWrap w:val="0"/>
            <w:vAlign w:val="center"/>
          </w:tcPr>
          <w:p w14:paraId="34F14C57">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投标报价</w:t>
            </w:r>
          </w:p>
        </w:tc>
        <w:tc>
          <w:tcPr>
            <w:tcW w:w="826" w:type="dxa"/>
            <w:noWrap w:val="0"/>
            <w:vAlign w:val="center"/>
          </w:tcPr>
          <w:p w14:paraId="64AA5465">
            <w:pPr>
              <w:spacing w:before="156" w:line="360" w:lineRule="auto"/>
              <w:jc w:val="center"/>
              <w:rPr>
                <w:rFonts w:ascii="宋体" w:hAnsi="宋体"/>
                <w:color w:val="auto"/>
                <w:sz w:val="24"/>
                <w:szCs w:val="24"/>
                <w:highlight w:val="none"/>
              </w:rPr>
            </w:pPr>
            <w:r>
              <w:rPr>
                <w:rFonts w:hint="eastAsia" w:ascii="宋体" w:hAnsi="宋体" w:cs="宋体"/>
                <w:color w:val="auto"/>
                <w:sz w:val="24"/>
                <w:szCs w:val="24"/>
                <w:highlight w:val="none"/>
                <w:lang w:val="en-US" w:eastAsia="zh-CN"/>
              </w:rPr>
              <w:t>30</w:t>
            </w:r>
            <w:r>
              <w:rPr>
                <w:rFonts w:hint="eastAsia" w:ascii="宋体" w:hAnsi="宋体" w:cs="宋体"/>
                <w:color w:val="auto"/>
                <w:sz w:val="24"/>
                <w:szCs w:val="24"/>
                <w:highlight w:val="none"/>
              </w:rPr>
              <w:t>分</w:t>
            </w:r>
          </w:p>
        </w:tc>
        <w:tc>
          <w:tcPr>
            <w:tcW w:w="6555" w:type="dxa"/>
            <w:noWrap w:val="0"/>
            <w:vAlign w:val="center"/>
          </w:tcPr>
          <w:p w14:paraId="7769D1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仿宋_GB2312"/>
                <w:color w:val="auto"/>
                <w:kern w:val="0"/>
                <w:sz w:val="24"/>
                <w:szCs w:val="24"/>
                <w:highlight w:val="none"/>
              </w:rPr>
            </w:pPr>
            <w:r>
              <w:rPr>
                <w:rFonts w:hint="eastAsia" w:ascii="宋体" w:hAnsi="宋体" w:cs="仿宋_GB2312"/>
                <w:color w:val="auto"/>
                <w:kern w:val="0"/>
                <w:sz w:val="24"/>
                <w:szCs w:val="24"/>
                <w:highlight w:val="none"/>
              </w:rPr>
              <w:t>本项目投标价超出预算价的，采购人不予接受，且投标为无效。</w:t>
            </w:r>
            <w:r>
              <w:rPr>
                <w:rFonts w:hint="eastAsia" w:ascii="宋体" w:hAnsi="宋体" w:cs="仿宋_GB2312"/>
                <w:color w:val="auto"/>
                <w:kern w:val="0"/>
                <w:sz w:val="24"/>
                <w:szCs w:val="24"/>
                <w:highlight w:val="none"/>
              </w:rPr>
              <w:br w:type="textWrapping"/>
            </w:r>
            <w:r>
              <w:rPr>
                <w:rFonts w:hint="eastAsia" w:ascii="宋体" w:hAnsi="宋体" w:cs="仿宋_GB2312"/>
                <w:color w:val="auto"/>
                <w:kern w:val="0"/>
                <w:sz w:val="24"/>
                <w:szCs w:val="24"/>
                <w:highlight w:val="none"/>
              </w:rPr>
              <w:t>投标报价得分：价格分采用低价优先法计算，即满足招标文件要求且投标价格最低的投标报价为评标基准价，得</w:t>
            </w:r>
            <w:r>
              <w:rPr>
                <w:rFonts w:hint="eastAsia" w:ascii="宋体" w:hAnsi="宋体" w:cs="仿宋_GB2312"/>
                <w:color w:val="auto"/>
                <w:kern w:val="0"/>
                <w:sz w:val="24"/>
                <w:szCs w:val="24"/>
                <w:highlight w:val="none"/>
                <w:lang w:val="en-US" w:eastAsia="zh-CN"/>
              </w:rPr>
              <w:t>30</w:t>
            </w:r>
            <w:r>
              <w:rPr>
                <w:rFonts w:hint="eastAsia" w:ascii="宋体" w:hAnsi="宋体" w:cs="仿宋_GB2312"/>
                <w:color w:val="auto"/>
                <w:kern w:val="0"/>
                <w:sz w:val="24"/>
                <w:szCs w:val="24"/>
                <w:highlight w:val="none"/>
              </w:rPr>
              <w:t>分，其他供应商的价格分按照下列公式计算：</w:t>
            </w:r>
            <w:r>
              <w:rPr>
                <w:rFonts w:hint="eastAsia" w:ascii="宋体" w:hAnsi="宋体" w:cs="仿宋_GB2312"/>
                <w:color w:val="auto"/>
                <w:kern w:val="0"/>
                <w:sz w:val="24"/>
                <w:szCs w:val="24"/>
                <w:highlight w:val="none"/>
              </w:rPr>
              <w:br w:type="textWrapping"/>
            </w:r>
            <w:r>
              <w:rPr>
                <w:rFonts w:hint="eastAsia" w:ascii="宋体" w:hAnsi="宋体" w:cs="仿宋_GB2312"/>
                <w:color w:val="auto"/>
                <w:kern w:val="0"/>
                <w:sz w:val="24"/>
                <w:szCs w:val="24"/>
                <w:highlight w:val="none"/>
              </w:rPr>
              <w:t>报价得分=（评标基准价/投标报价）×</w:t>
            </w:r>
            <w:r>
              <w:rPr>
                <w:rFonts w:hint="eastAsia" w:ascii="宋体" w:hAnsi="宋体" w:cs="仿宋_GB2312"/>
                <w:color w:val="auto"/>
                <w:kern w:val="0"/>
                <w:sz w:val="24"/>
                <w:szCs w:val="24"/>
                <w:highlight w:val="none"/>
                <w:lang w:val="en-US" w:eastAsia="zh-CN"/>
              </w:rPr>
              <w:t>30</w:t>
            </w:r>
            <w:r>
              <w:rPr>
                <w:rFonts w:hint="eastAsia" w:ascii="宋体" w:hAnsi="宋体" w:cs="仿宋_GB2312"/>
                <w:color w:val="auto"/>
                <w:kern w:val="0"/>
                <w:sz w:val="24"/>
                <w:szCs w:val="24"/>
                <w:highlight w:val="none"/>
              </w:rPr>
              <w:t>(精确到小数点后两位,四舍五入)</w:t>
            </w:r>
          </w:p>
          <w:p w14:paraId="1C2FDF6D">
            <w:pPr>
              <w:spacing w:line="360" w:lineRule="auto"/>
              <w:rPr>
                <w:rFonts w:ascii="宋体" w:hAnsi="宋体"/>
                <w:b/>
                <w:color w:val="auto"/>
                <w:sz w:val="24"/>
                <w:szCs w:val="24"/>
                <w:highlight w:val="none"/>
              </w:rPr>
            </w:pPr>
            <w:r>
              <w:rPr>
                <w:rFonts w:hint="eastAsia" w:ascii="宋体" w:hAnsi="宋体"/>
                <w:b/>
                <w:color w:val="auto"/>
                <w:sz w:val="24"/>
                <w:szCs w:val="24"/>
                <w:highlight w:val="none"/>
              </w:rPr>
              <w:t>价格扣除：</w:t>
            </w:r>
            <w:r>
              <w:rPr>
                <w:rFonts w:hint="eastAsia" w:ascii="宋体" w:hAnsi="宋体" w:cs="Arial Unicode MS"/>
                <w:b/>
                <w:color w:val="auto"/>
                <w:sz w:val="24"/>
                <w:szCs w:val="24"/>
                <w:highlight w:val="none"/>
              </w:rPr>
              <w:t>《国务院关于印发扎实稳住经济一揽子政策措施的通知》（国发〔2022〕12号）对外发布，《通知》指出，加大政府采购支持中小企业力度。</w:t>
            </w:r>
            <w:r>
              <w:rPr>
                <w:rFonts w:hint="eastAsia" w:ascii="宋体" w:hAnsi="宋体"/>
                <w:b/>
                <w:color w:val="auto"/>
                <w:sz w:val="24"/>
                <w:szCs w:val="24"/>
                <w:highlight w:val="none"/>
              </w:rPr>
              <w:t>投标供应商为中小微企业的，对所投标的</w:t>
            </w:r>
            <w:r>
              <w:rPr>
                <w:rFonts w:hint="eastAsia" w:ascii="宋体" w:hAnsi="宋体"/>
                <w:b/>
                <w:color w:val="auto"/>
                <w:sz w:val="24"/>
                <w:szCs w:val="24"/>
                <w:highlight w:val="none"/>
                <w:lang w:val="en-US" w:eastAsia="zh-CN"/>
              </w:rPr>
              <w:t>中</w:t>
            </w:r>
            <w:r>
              <w:rPr>
                <w:rFonts w:hint="eastAsia" w:ascii="宋体" w:hAnsi="宋体"/>
                <w:b/>
                <w:color w:val="auto"/>
                <w:sz w:val="24"/>
                <w:szCs w:val="24"/>
                <w:highlight w:val="none"/>
              </w:rPr>
              <w:t>小型和微型企业制造的产品的价格给予20%的扣除，用扣除后的价格参与评审。</w:t>
            </w:r>
            <w:r>
              <w:rPr>
                <w:rFonts w:hint="eastAsia" w:ascii="宋体" w:hAnsi="宋体"/>
                <w:b/>
                <w:color w:val="auto"/>
                <w:sz w:val="24"/>
                <w:szCs w:val="24"/>
                <w:highlight w:val="none"/>
              </w:rPr>
              <w:br w:type="textWrapping"/>
            </w:r>
            <w:r>
              <w:rPr>
                <w:rFonts w:hint="eastAsia" w:ascii="宋体" w:hAnsi="宋体"/>
                <w:b/>
                <w:color w:val="auto"/>
                <w:sz w:val="24"/>
                <w:szCs w:val="24"/>
                <w:highlight w:val="none"/>
              </w:rPr>
              <w:t>所投中小微企业产品报价=所投中小微企业产品报价×（1-20%）</w:t>
            </w:r>
          </w:p>
        </w:tc>
      </w:tr>
      <w:tr w14:paraId="19CB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3" w:type="dxa"/>
            <w:vMerge w:val="restart"/>
            <w:noWrap w:val="0"/>
            <w:vAlign w:val="center"/>
          </w:tcPr>
          <w:p w14:paraId="2CD2A9F5">
            <w:pPr>
              <w:spacing w:line="360" w:lineRule="auto"/>
              <w:jc w:val="center"/>
              <w:rPr>
                <w:rFonts w:hint="eastAsia" w:ascii="宋体" w:hAnsi="宋体"/>
                <w:color w:val="auto"/>
                <w:sz w:val="24"/>
                <w:szCs w:val="24"/>
                <w:highlight w:val="none"/>
              </w:rPr>
            </w:pPr>
            <w:r>
              <w:rPr>
                <w:rFonts w:hint="eastAsia" w:ascii="宋体" w:hAnsi="宋体"/>
                <w:color w:val="auto"/>
                <w:sz w:val="24"/>
                <w:szCs w:val="24"/>
                <w:highlight w:val="none"/>
              </w:rPr>
              <w:t>技术部分</w:t>
            </w:r>
          </w:p>
          <w:p w14:paraId="191A20B6">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45</w:t>
            </w:r>
            <w:r>
              <w:rPr>
                <w:rFonts w:hint="eastAsia" w:ascii="宋体" w:hAnsi="宋体"/>
                <w:color w:val="auto"/>
                <w:sz w:val="24"/>
                <w:szCs w:val="24"/>
                <w:highlight w:val="none"/>
              </w:rPr>
              <w:t>分）</w:t>
            </w:r>
          </w:p>
        </w:tc>
        <w:tc>
          <w:tcPr>
            <w:tcW w:w="1243" w:type="dxa"/>
            <w:noWrap w:val="0"/>
            <w:vAlign w:val="center"/>
          </w:tcPr>
          <w:p w14:paraId="019213BC">
            <w:pPr>
              <w:spacing w:line="360" w:lineRule="auto"/>
              <w:jc w:val="center"/>
              <w:rPr>
                <w:rFonts w:hint="default" w:ascii="宋体" w:hAnsi="宋体" w:eastAsia="宋体" w:cs="Times New Roman"/>
                <w:color w:val="auto"/>
                <w:sz w:val="24"/>
                <w:szCs w:val="24"/>
                <w:highlight w:val="none"/>
                <w:lang w:val="en-US" w:eastAsia="zh-CN"/>
              </w:rPr>
            </w:pPr>
            <w:r>
              <w:rPr>
                <w:rFonts w:hint="eastAsia" w:ascii="宋体" w:hAnsi="宋体"/>
                <w:color w:val="auto"/>
                <w:sz w:val="24"/>
                <w:szCs w:val="24"/>
                <w:highlight w:val="none"/>
              </w:rPr>
              <w:t>技术参数</w:t>
            </w:r>
          </w:p>
        </w:tc>
        <w:tc>
          <w:tcPr>
            <w:tcW w:w="826" w:type="dxa"/>
            <w:noWrap w:val="0"/>
            <w:vAlign w:val="center"/>
          </w:tcPr>
          <w:p w14:paraId="17F333B4">
            <w:pPr>
              <w:spacing w:line="360" w:lineRule="auto"/>
              <w:jc w:val="center"/>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20分</w:t>
            </w:r>
          </w:p>
        </w:tc>
        <w:tc>
          <w:tcPr>
            <w:tcW w:w="6555" w:type="dxa"/>
            <w:noWrap w:val="0"/>
            <w:vAlign w:val="center"/>
          </w:tcPr>
          <w:p w14:paraId="10C75F01">
            <w:pPr>
              <w:spacing w:line="360" w:lineRule="auto"/>
              <w:jc w:val="left"/>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zh-CN"/>
              </w:rPr>
              <w:t>投标供应商所投</w:t>
            </w:r>
            <w:r>
              <w:rPr>
                <w:rFonts w:hint="eastAsia" w:ascii="宋体" w:hAnsi="宋体" w:eastAsia="宋体" w:cs="Times New Roman"/>
                <w:color w:val="auto"/>
                <w:sz w:val="24"/>
                <w:szCs w:val="24"/>
                <w:highlight w:val="none"/>
                <w:lang w:val="en-US" w:eastAsia="zh-CN"/>
              </w:rPr>
              <w:t>产品</w:t>
            </w:r>
            <w:r>
              <w:rPr>
                <w:rFonts w:hint="eastAsia" w:ascii="宋体" w:hAnsi="宋体" w:eastAsia="宋体" w:cs="Times New Roman"/>
                <w:color w:val="auto"/>
                <w:sz w:val="24"/>
                <w:szCs w:val="24"/>
                <w:highlight w:val="none"/>
                <w:lang w:val="zh-CN"/>
              </w:rPr>
              <w:t>的技术参数、性能指标能够全部满足招标文件要求得</w:t>
            </w:r>
            <w:r>
              <w:rPr>
                <w:rFonts w:hint="eastAsia" w:ascii="宋体" w:hAnsi="宋体" w:eastAsia="宋体" w:cs="Times New Roman"/>
                <w:color w:val="auto"/>
                <w:sz w:val="24"/>
                <w:szCs w:val="24"/>
                <w:highlight w:val="none"/>
                <w:lang w:val="en-US" w:eastAsia="zh-CN"/>
              </w:rPr>
              <w:t>20</w:t>
            </w:r>
            <w:r>
              <w:rPr>
                <w:color w:val="auto"/>
                <w:spacing w:val="-1"/>
                <w:sz w:val="24"/>
                <w:szCs w:val="24"/>
                <w:highlight w:val="none"/>
              </w:rPr>
              <w:t>分，</w:t>
            </w:r>
            <w:r>
              <w:rPr>
                <w:color w:val="auto"/>
                <w:spacing w:val="-3"/>
                <w:sz w:val="24"/>
                <w:szCs w:val="24"/>
                <w:highlight w:val="none"/>
              </w:rPr>
              <w:t>每有一项不满足招标文件要求的扣</w:t>
            </w:r>
            <w:r>
              <w:rPr>
                <w:rFonts w:hint="eastAsia"/>
                <w:color w:val="auto"/>
                <w:spacing w:val="-3"/>
                <w:sz w:val="24"/>
                <w:szCs w:val="24"/>
                <w:highlight w:val="none"/>
                <w:lang w:val="en-US" w:eastAsia="zh-CN"/>
              </w:rPr>
              <w:t>2</w:t>
            </w:r>
            <w:r>
              <w:rPr>
                <w:color w:val="auto"/>
                <w:spacing w:val="-3"/>
                <w:sz w:val="24"/>
                <w:szCs w:val="24"/>
                <w:highlight w:val="none"/>
              </w:rPr>
              <w:t>分</w:t>
            </w:r>
            <w:r>
              <w:rPr>
                <w:rFonts w:hint="eastAsia"/>
                <w:color w:val="auto"/>
                <w:spacing w:val="-3"/>
                <w:sz w:val="24"/>
                <w:szCs w:val="24"/>
                <w:highlight w:val="none"/>
                <w:lang w:eastAsia="zh-CN"/>
              </w:rPr>
              <w:t>，</w:t>
            </w:r>
            <w:r>
              <w:rPr>
                <w:rFonts w:hint="eastAsia" w:ascii="宋体" w:hAnsi="宋体" w:eastAsia="宋体" w:cs="Times New Roman"/>
                <w:color w:val="auto"/>
                <w:sz w:val="24"/>
                <w:szCs w:val="24"/>
                <w:highlight w:val="none"/>
                <w:lang w:val="zh-CN"/>
              </w:rPr>
              <w:t>扣完为止；</w:t>
            </w:r>
          </w:p>
        </w:tc>
      </w:tr>
      <w:tr w14:paraId="4CFB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133" w:type="dxa"/>
            <w:vMerge w:val="continue"/>
            <w:noWrap w:val="0"/>
            <w:vAlign w:val="center"/>
          </w:tcPr>
          <w:p w14:paraId="5353BE19">
            <w:pPr>
              <w:spacing w:line="360" w:lineRule="auto"/>
              <w:jc w:val="center"/>
              <w:rPr>
                <w:rFonts w:hint="eastAsia" w:ascii="宋体" w:hAnsi="宋体"/>
                <w:color w:val="auto"/>
                <w:sz w:val="24"/>
                <w:szCs w:val="24"/>
                <w:highlight w:val="none"/>
              </w:rPr>
            </w:pPr>
          </w:p>
        </w:tc>
        <w:tc>
          <w:tcPr>
            <w:tcW w:w="1243" w:type="dxa"/>
            <w:noWrap w:val="0"/>
            <w:vAlign w:val="center"/>
          </w:tcPr>
          <w:p w14:paraId="28CBBDB6">
            <w:pPr>
              <w:spacing w:line="360" w:lineRule="auto"/>
              <w:jc w:val="center"/>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zh-CN"/>
              </w:rPr>
              <w:t>供货安装方案</w:t>
            </w:r>
          </w:p>
        </w:tc>
        <w:tc>
          <w:tcPr>
            <w:tcW w:w="826" w:type="dxa"/>
            <w:noWrap w:val="0"/>
            <w:vAlign w:val="center"/>
          </w:tcPr>
          <w:p w14:paraId="5F87867B">
            <w:pPr>
              <w:spacing w:line="360" w:lineRule="auto"/>
              <w:jc w:val="center"/>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10分</w:t>
            </w:r>
          </w:p>
        </w:tc>
        <w:tc>
          <w:tcPr>
            <w:tcW w:w="6555" w:type="dxa"/>
            <w:noWrap w:val="0"/>
            <w:vAlign w:val="center"/>
          </w:tcPr>
          <w:p w14:paraId="0082A9DD">
            <w:pPr>
              <w:spacing w:line="360" w:lineRule="auto"/>
              <w:jc w:val="left"/>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zh-CN"/>
              </w:rPr>
              <w:t>根据供货进度及安全保障措施、安装方案的合理性、可行性、科学性，</w:t>
            </w:r>
            <w:r>
              <w:rPr>
                <w:rFonts w:hint="eastAsia" w:ascii="宋体" w:hAnsi="宋体" w:eastAsia="宋体" w:cs="Times New Roman"/>
                <w:color w:val="auto"/>
                <w:sz w:val="24"/>
                <w:szCs w:val="24"/>
                <w:highlight w:val="none"/>
                <w:lang w:val="zh-CN" w:eastAsia="zh-CN"/>
              </w:rPr>
              <w:t>方案完整合理、可行性强得</w:t>
            </w:r>
            <w:r>
              <w:rPr>
                <w:rFonts w:hint="eastAsia" w:ascii="宋体" w:hAnsi="宋体" w:eastAsia="宋体" w:cs="Times New Roman"/>
                <w:color w:val="auto"/>
                <w:sz w:val="24"/>
                <w:szCs w:val="24"/>
                <w:highlight w:val="none"/>
                <w:lang w:val="en-US" w:eastAsia="zh-CN"/>
              </w:rPr>
              <w:t>10</w:t>
            </w:r>
            <w:r>
              <w:rPr>
                <w:rFonts w:hint="eastAsia" w:ascii="宋体" w:hAnsi="宋体" w:eastAsia="宋体" w:cs="Times New Roman"/>
                <w:color w:val="auto"/>
                <w:sz w:val="24"/>
                <w:szCs w:val="24"/>
                <w:highlight w:val="none"/>
                <w:lang w:val="zh-CN" w:eastAsia="zh-CN"/>
              </w:rPr>
              <w:t>分，方案完整，可行性一般得</w:t>
            </w:r>
            <w:r>
              <w:rPr>
                <w:rFonts w:hint="eastAsia" w:ascii="宋体" w:hAnsi="宋体" w:eastAsia="宋体" w:cs="Times New Roman"/>
                <w:color w:val="auto"/>
                <w:sz w:val="24"/>
                <w:szCs w:val="24"/>
                <w:highlight w:val="none"/>
                <w:lang w:val="en-US" w:eastAsia="zh-CN"/>
              </w:rPr>
              <w:t>7</w:t>
            </w:r>
            <w:r>
              <w:rPr>
                <w:rFonts w:hint="eastAsia" w:ascii="宋体" w:hAnsi="宋体" w:eastAsia="宋体" w:cs="Times New Roman"/>
                <w:color w:val="auto"/>
                <w:sz w:val="24"/>
                <w:szCs w:val="24"/>
                <w:highlight w:val="none"/>
                <w:lang w:val="zh-CN" w:eastAsia="zh-CN"/>
              </w:rPr>
              <w:t>分，方案不完整、可行性一般得</w:t>
            </w:r>
            <w:r>
              <w:rPr>
                <w:rFonts w:hint="eastAsia" w:ascii="宋体" w:hAnsi="宋体" w:eastAsia="宋体" w:cs="Times New Roman"/>
                <w:color w:val="auto"/>
                <w:sz w:val="24"/>
                <w:szCs w:val="24"/>
                <w:highlight w:val="none"/>
                <w:lang w:val="en-US" w:eastAsia="zh-CN"/>
              </w:rPr>
              <w:t>3</w:t>
            </w:r>
            <w:r>
              <w:rPr>
                <w:rFonts w:hint="eastAsia" w:ascii="宋体" w:hAnsi="宋体" w:eastAsia="宋体" w:cs="Times New Roman"/>
                <w:color w:val="auto"/>
                <w:sz w:val="24"/>
                <w:szCs w:val="24"/>
                <w:highlight w:val="none"/>
                <w:lang w:val="zh-CN" w:eastAsia="zh-CN"/>
              </w:rPr>
              <w:t>分</w:t>
            </w:r>
            <w:r>
              <w:rPr>
                <w:rFonts w:hint="eastAsia" w:ascii="宋体" w:hAnsi="宋体" w:eastAsia="宋体" w:cs="Times New Roman"/>
                <w:color w:val="auto"/>
                <w:sz w:val="24"/>
                <w:szCs w:val="24"/>
                <w:highlight w:val="none"/>
                <w:lang w:val="zh-CN"/>
              </w:rPr>
              <w:t>。</w:t>
            </w:r>
          </w:p>
        </w:tc>
      </w:tr>
      <w:tr w14:paraId="1CA0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133" w:type="dxa"/>
            <w:vMerge w:val="continue"/>
            <w:noWrap w:val="0"/>
            <w:vAlign w:val="center"/>
          </w:tcPr>
          <w:p w14:paraId="42A53B11">
            <w:pPr>
              <w:spacing w:line="360" w:lineRule="auto"/>
              <w:jc w:val="left"/>
              <w:rPr>
                <w:rFonts w:hint="eastAsia" w:ascii="宋体" w:hAnsi="宋体" w:eastAsia="宋体" w:cs="Times New Roman"/>
                <w:color w:val="auto"/>
                <w:sz w:val="24"/>
                <w:szCs w:val="24"/>
                <w:highlight w:val="none"/>
                <w:lang w:val="en-US" w:eastAsia="zh-CN"/>
              </w:rPr>
            </w:pPr>
          </w:p>
        </w:tc>
        <w:tc>
          <w:tcPr>
            <w:tcW w:w="1243" w:type="dxa"/>
            <w:noWrap w:val="0"/>
            <w:vAlign w:val="center"/>
          </w:tcPr>
          <w:p w14:paraId="1E748983">
            <w:pPr>
              <w:spacing w:line="360" w:lineRule="auto"/>
              <w:jc w:val="center"/>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zh-CN"/>
              </w:rPr>
              <w:t>质量保证措施</w:t>
            </w:r>
          </w:p>
        </w:tc>
        <w:tc>
          <w:tcPr>
            <w:tcW w:w="826" w:type="dxa"/>
            <w:noWrap w:val="0"/>
            <w:vAlign w:val="center"/>
          </w:tcPr>
          <w:p w14:paraId="7AEEC483">
            <w:pPr>
              <w:spacing w:line="360" w:lineRule="auto"/>
              <w:jc w:val="center"/>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10分</w:t>
            </w:r>
          </w:p>
        </w:tc>
        <w:tc>
          <w:tcPr>
            <w:tcW w:w="6555" w:type="dxa"/>
            <w:noWrap w:val="0"/>
            <w:vAlign w:val="center"/>
          </w:tcPr>
          <w:p w14:paraId="0204CA85">
            <w:pPr>
              <w:spacing w:line="360" w:lineRule="auto"/>
              <w:jc w:val="left"/>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能够提出针对本项目产品的质量、交货安装期等保证措施，依据计划及保证措施：内容完整，针对性强得10分；内容基本完整，针对性一般得7分；内容不完整，没有针对性的得3分。</w:t>
            </w:r>
          </w:p>
        </w:tc>
      </w:tr>
      <w:tr w14:paraId="6976F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133" w:type="dxa"/>
            <w:vMerge w:val="continue"/>
            <w:noWrap w:val="0"/>
            <w:vAlign w:val="center"/>
          </w:tcPr>
          <w:p w14:paraId="3340AAF7">
            <w:pPr>
              <w:spacing w:line="360" w:lineRule="auto"/>
              <w:jc w:val="left"/>
              <w:rPr>
                <w:rFonts w:hint="eastAsia" w:ascii="宋体" w:hAnsi="宋体" w:eastAsia="宋体" w:cs="Times New Roman"/>
                <w:color w:val="auto"/>
                <w:sz w:val="24"/>
                <w:szCs w:val="24"/>
                <w:highlight w:val="none"/>
                <w:lang w:val="en-US" w:eastAsia="zh-CN"/>
              </w:rPr>
            </w:pPr>
          </w:p>
        </w:tc>
        <w:tc>
          <w:tcPr>
            <w:tcW w:w="1243" w:type="dxa"/>
            <w:noWrap w:val="0"/>
            <w:vAlign w:val="center"/>
          </w:tcPr>
          <w:p w14:paraId="330F7431">
            <w:pPr>
              <w:ind w:right="-97" w:rightChars="-46"/>
              <w:jc w:val="center"/>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保障措施方案</w:t>
            </w:r>
          </w:p>
        </w:tc>
        <w:tc>
          <w:tcPr>
            <w:tcW w:w="826" w:type="dxa"/>
            <w:noWrap w:val="0"/>
            <w:vAlign w:val="center"/>
          </w:tcPr>
          <w:p w14:paraId="74CD4DB9">
            <w:pPr>
              <w:spacing w:line="360" w:lineRule="auto"/>
              <w:jc w:val="center"/>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5分</w:t>
            </w:r>
          </w:p>
        </w:tc>
        <w:tc>
          <w:tcPr>
            <w:tcW w:w="6555" w:type="dxa"/>
            <w:noWrap w:val="0"/>
            <w:vAlign w:val="center"/>
          </w:tcPr>
          <w:p w14:paraId="394490E5">
            <w:pPr>
              <w:spacing w:line="360" w:lineRule="auto"/>
              <w:jc w:val="left"/>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供应商保障措施方案详细完整，能及时响应和积极配合采购人的有关需求进行评审：</w:t>
            </w:r>
          </w:p>
          <w:p w14:paraId="37FC69EB">
            <w:pPr>
              <w:spacing w:line="360" w:lineRule="auto"/>
              <w:jc w:val="left"/>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方案合理、可行、完全满足项目需求的得5分；</w:t>
            </w:r>
          </w:p>
          <w:p w14:paraId="43B399AB">
            <w:pPr>
              <w:spacing w:line="360" w:lineRule="auto"/>
              <w:jc w:val="left"/>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方案基本合理、可行、基本满足项目需求的得3分；</w:t>
            </w:r>
          </w:p>
          <w:p w14:paraId="1F979538">
            <w:pPr>
              <w:spacing w:line="360" w:lineRule="auto"/>
              <w:jc w:val="left"/>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方案基本合理、不可行、基本满足项目需求的得1分，缺项得0分；</w:t>
            </w:r>
          </w:p>
        </w:tc>
      </w:tr>
      <w:tr w14:paraId="40BB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133" w:type="dxa"/>
            <w:vMerge w:val="restart"/>
            <w:noWrap w:val="0"/>
            <w:vAlign w:val="center"/>
          </w:tcPr>
          <w:p w14:paraId="1C09F30C">
            <w:pPr>
              <w:spacing w:line="360" w:lineRule="auto"/>
              <w:jc w:val="left"/>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综合部分（25分）</w:t>
            </w:r>
          </w:p>
        </w:tc>
        <w:tc>
          <w:tcPr>
            <w:tcW w:w="1243" w:type="dxa"/>
            <w:noWrap w:val="0"/>
            <w:vAlign w:val="center"/>
          </w:tcPr>
          <w:p w14:paraId="1B3A5CE8">
            <w:pPr>
              <w:spacing w:line="360" w:lineRule="auto"/>
              <w:jc w:val="center"/>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企业业绩</w:t>
            </w:r>
          </w:p>
        </w:tc>
        <w:tc>
          <w:tcPr>
            <w:tcW w:w="826" w:type="dxa"/>
            <w:noWrap w:val="0"/>
            <w:vAlign w:val="center"/>
          </w:tcPr>
          <w:p w14:paraId="2522CC98">
            <w:pPr>
              <w:spacing w:line="360" w:lineRule="auto"/>
              <w:jc w:val="center"/>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4分</w:t>
            </w:r>
          </w:p>
        </w:tc>
        <w:tc>
          <w:tcPr>
            <w:tcW w:w="6555" w:type="dxa"/>
            <w:noWrap w:val="0"/>
            <w:vAlign w:val="center"/>
          </w:tcPr>
          <w:p w14:paraId="36B8F1AA">
            <w:pPr>
              <w:spacing w:line="360" w:lineRule="auto"/>
              <w:jc w:val="left"/>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供应商</w:t>
            </w:r>
            <w:r>
              <w:rPr>
                <w:rFonts w:hint="eastAsia" w:ascii="宋体" w:hAnsi="宋体" w:eastAsia="宋体" w:cs="Times New Roman"/>
                <w:color w:val="auto"/>
                <w:sz w:val="24"/>
                <w:szCs w:val="24"/>
                <w:highlight w:val="none"/>
                <w:lang w:val="zh-CN" w:eastAsia="zh-CN"/>
              </w:rPr>
              <w:t>提供20</w:t>
            </w:r>
            <w:r>
              <w:rPr>
                <w:rFonts w:hint="eastAsia" w:ascii="宋体" w:hAnsi="宋体" w:eastAsia="宋体" w:cs="Times New Roman"/>
                <w:color w:val="auto"/>
                <w:sz w:val="24"/>
                <w:szCs w:val="24"/>
                <w:highlight w:val="none"/>
                <w:lang w:val="en-US" w:eastAsia="zh-CN"/>
              </w:rPr>
              <w:t>2</w:t>
            </w:r>
            <w:r>
              <w:rPr>
                <w:rFonts w:hint="eastAsia" w:ascii="宋体" w:hAnsi="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lang w:val="zh-CN" w:eastAsia="zh-CN"/>
              </w:rPr>
              <w:t>年以来（</w:t>
            </w:r>
            <w:r>
              <w:rPr>
                <w:rFonts w:hint="eastAsia" w:ascii="宋体" w:hAnsi="宋体" w:eastAsia="宋体" w:cs="Times New Roman"/>
                <w:color w:val="auto"/>
                <w:sz w:val="24"/>
                <w:szCs w:val="24"/>
                <w:highlight w:val="none"/>
                <w:lang w:val="en-US" w:eastAsia="zh-CN"/>
              </w:rPr>
              <w:t>以合同签订时间为准</w:t>
            </w:r>
            <w:r>
              <w:rPr>
                <w:rFonts w:hint="eastAsia" w:ascii="宋体" w:hAnsi="宋体" w:eastAsia="宋体" w:cs="Times New Roman"/>
                <w:color w:val="auto"/>
                <w:sz w:val="24"/>
                <w:szCs w:val="24"/>
                <w:highlight w:val="none"/>
                <w:lang w:val="zh-CN" w:eastAsia="zh-CN"/>
              </w:rPr>
              <w:t>）</w:t>
            </w:r>
            <w:r>
              <w:rPr>
                <w:rFonts w:hint="eastAsia" w:ascii="宋体" w:hAnsi="宋体" w:eastAsia="宋体" w:cs="Times New Roman"/>
                <w:color w:val="auto"/>
                <w:sz w:val="24"/>
                <w:szCs w:val="24"/>
                <w:highlight w:val="none"/>
                <w:lang w:val="en-US" w:eastAsia="zh-CN"/>
              </w:rPr>
              <w:t>承担过</w:t>
            </w:r>
            <w:r>
              <w:rPr>
                <w:rFonts w:hint="eastAsia" w:ascii="宋体" w:hAnsi="宋体" w:eastAsia="宋体" w:cs="Times New Roman"/>
                <w:color w:val="auto"/>
                <w:sz w:val="24"/>
                <w:szCs w:val="24"/>
                <w:highlight w:val="none"/>
                <w:lang w:val="zh-CN" w:eastAsia="zh-CN"/>
              </w:rPr>
              <w:t>类似项目</w:t>
            </w:r>
            <w:r>
              <w:rPr>
                <w:rFonts w:hint="eastAsia" w:ascii="宋体" w:hAnsi="宋体" w:eastAsia="宋体" w:cs="Times New Roman"/>
                <w:color w:val="auto"/>
                <w:sz w:val="24"/>
                <w:szCs w:val="24"/>
                <w:highlight w:val="none"/>
                <w:lang w:val="en-US" w:eastAsia="zh-CN"/>
              </w:rPr>
              <w:t>业绩，每提供一份得2分，最多得4分。（提供中标通知书</w:t>
            </w:r>
            <w:r>
              <w:rPr>
                <w:rFonts w:hint="eastAsia" w:ascii="宋体" w:hAnsi="宋体" w:cs="Times New Roman"/>
                <w:color w:val="auto"/>
                <w:sz w:val="24"/>
                <w:szCs w:val="24"/>
                <w:highlight w:val="none"/>
                <w:lang w:val="en-US" w:eastAsia="zh-CN"/>
              </w:rPr>
              <w:t>或</w:t>
            </w:r>
            <w:r>
              <w:rPr>
                <w:rFonts w:hint="eastAsia" w:ascii="宋体" w:hAnsi="宋体" w:eastAsia="宋体" w:cs="Times New Roman"/>
                <w:color w:val="auto"/>
                <w:sz w:val="24"/>
                <w:szCs w:val="24"/>
                <w:highlight w:val="none"/>
                <w:lang w:val="en-US" w:eastAsia="zh-CN"/>
              </w:rPr>
              <w:t>合同扫描件），未提供的不得分；</w:t>
            </w:r>
          </w:p>
        </w:tc>
      </w:tr>
      <w:tr w14:paraId="6B67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8" w:hRule="atLeast"/>
        </w:trPr>
        <w:tc>
          <w:tcPr>
            <w:tcW w:w="1133" w:type="dxa"/>
            <w:vMerge w:val="continue"/>
            <w:noWrap w:val="0"/>
            <w:vAlign w:val="center"/>
          </w:tcPr>
          <w:p w14:paraId="5067BEFD">
            <w:pPr>
              <w:spacing w:line="360" w:lineRule="auto"/>
              <w:jc w:val="left"/>
              <w:rPr>
                <w:rFonts w:hint="eastAsia" w:ascii="宋体" w:hAnsi="宋体" w:eastAsia="宋体" w:cs="Times New Roman"/>
                <w:color w:val="auto"/>
                <w:sz w:val="24"/>
                <w:szCs w:val="24"/>
                <w:highlight w:val="none"/>
                <w:lang w:val="en-US" w:eastAsia="zh-CN"/>
              </w:rPr>
            </w:pPr>
          </w:p>
        </w:tc>
        <w:tc>
          <w:tcPr>
            <w:tcW w:w="1243" w:type="dxa"/>
            <w:noWrap w:val="0"/>
            <w:vAlign w:val="center"/>
          </w:tcPr>
          <w:p w14:paraId="1C3E11C4">
            <w:pPr>
              <w:spacing w:line="360" w:lineRule="auto"/>
              <w:jc w:val="center"/>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安装调试</w:t>
            </w:r>
          </w:p>
        </w:tc>
        <w:tc>
          <w:tcPr>
            <w:tcW w:w="826" w:type="dxa"/>
            <w:noWrap w:val="0"/>
            <w:vAlign w:val="center"/>
          </w:tcPr>
          <w:p w14:paraId="20DAECE4">
            <w:pPr>
              <w:spacing w:line="360" w:lineRule="auto"/>
              <w:jc w:val="center"/>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6分</w:t>
            </w:r>
          </w:p>
        </w:tc>
        <w:tc>
          <w:tcPr>
            <w:tcW w:w="6555" w:type="dxa"/>
            <w:noWrap w:val="0"/>
            <w:vAlign w:val="center"/>
          </w:tcPr>
          <w:p w14:paraId="175749D9">
            <w:pPr>
              <w:spacing w:line="360" w:lineRule="auto"/>
              <w:jc w:val="left"/>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安装调试的方案（安装调试前期工作、人员配备、时间安排等）内容详实具体、安装调试充分且高效、人数充足，实施保障措施可靠，满足项目实施的得6分；有较具体的安装调试方案，内容较详实，基本满足项目需求的得3分；安装调试方案不完备，不能完全满足需求的得1分；</w:t>
            </w:r>
          </w:p>
        </w:tc>
      </w:tr>
      <w:tr w14:paraId="1463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133" w:type="dxa"/>
            <w:vMerge w:val="continue"/>
            <w:noWrap w:val="0"/>
            <w:vAlign w:val="center"/>
          </w:tcPr>
          <w:p w14:paraId="37BFB196">
            <w:pPr>
              <w:spacing w:line="360" w:lineRule="auto"/>
              <w:jc w:val="left"/>
              <w:rPr>
                <w:rFonts w:hint="eastAsia" w:ascii="宋体" w:hAnsi="宋体" w:eastAsia="宋体" w:cs="Times New Roman"/>
                <w:color w:val="auto"/>
                <w:sz w:val="24"/>
                <w:szCs w:val="24"/>
                <w:highlight w:val="none"/>
                <w:lang w:val="en-US" w:eastAsia="zh-CN"/>
              </w:rPr>
            </w:pPr>
          </w:p>
        </w:tc>
        <w:tc>
          <w:tcPr>
            <w:tcW w:w="1243" w:type="dxa"/>
            <w:noWrap w:val="0"/>
            <w:vAlign w:val="center"/>
          </w:tcPr>
          <w:p w14:paraId="3BE05306">
            <w:pPr>
              <w:spacing w:line="360" w:lineRule="auto"/>
              <w:jc w:val="center"/>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培训方案</w:t>
            </w:r>
          </w:p>
        </w:tc>
        <w:tc>
          <w:tcPr>
            <w:tcW w:w="826" w:type="dxa"/>
            <w:noWrap w:val="0"/>
            <w:vAlign w:val="center"/>
          </w:tcPr>
          <w:p w14:paraId="13092344">
            <w:pPr>
              <w:spacing w:line="360" w:lineRule="auto"/>
              <w:jc w:val="center"/>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5分</w:t>
            </w:r>
          </w:p>
        </w:tc>
        <w:tc>
          <w:tcPr>
            <w:tcW w:w="6555" w:type="dxa"/>
            <w:noWrap w:val="0"/>
            <w:vAlign w:val="center"/>
          </w:tcPr>
          <w:p w14:paraId="33791CD7">
            <w:pPr>
              <w:spacing w:line="360" w:lineRule="auto"/>
              <w:jc w:val="left"/>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 xml:space="preserve">培训方案内容详实具体，培训时长充分且高效、人数充足，满足项目实施的得5分；有较具体的培训方案，内容较详实，培训时长基本满足项目需求、人数基本满足项目实施的得3分；培训方案欠完备，内容一般，培训时长及人数基本满足需求的得1分； </w:t>
            </w:r>
          </w:p>
        </w:tc>
      </w:tr>
      <w:tr w14:paraId="759F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133" w:type="dxa"/>
            <w:vMerge w:val="continue"/>
            <w:noWrap w:val="0"/>
            <w:vAlign w:val="center"/>
          </w:tcPr>
          <w:p w14:paraId="5A42ED23">
            <w:pPr>
              <w:spacing w:line="360" w:lineRule="auto"/>
              <w:jc w:val="left"/>
              <w:rPr>
                <w:rFonts w:hint="eastAsia" w:ascii="宋体" w:hAnsi="宋体" w:eastAsia="宋体" w:cs="Times New Roman"/>
                <w:color w:val="auto"/>
                <w:sz w:val="24"/>
                <w:szCs w:val="24"/>
                <w:highlight w:val="none"/>
                <w:lang w:val="en-US" w:eastAsia="zh-CN"/>
              </w:rPr>
            </w:pPr>
          </w:p>
        </w:tc>
        <w:tc>
          <w:tcPr>
            <w:tcW w:w="1243" w:type="dxa"/>
            <w:noWrap w:val="0"/>
            <w:vAlign w:val="center"/>
          </w:tcPr>
          <w:p w14:paraId="21FC9B13">
            <w:pPr>
              <w:spacing w:line="360" w:lineRule="auto"/>
              <w:jc w:val="center"/>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售后服务方案</w:t>
            </w:r>
          </w:p>
        </w:tc>
        <w:tc>
          <w:tcPr>
            <w:tcW w:w="826" w:type="dxa"/>
            <w:noWrap w:val="0"/>
            <w:vAlign w:val="center"/>
          </w:tcPr>
          <w:p w14:paraId="6B8CBEB6">
            <w:pPr>
              <w:spacing w:line="360" w:lineRule="auto"/>
              <w:jc w:val="center"/>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5分</w:t>
            </w:r>
          </w:p>
        </w:tc>
        <w:tc>
          <w:tcPr>
            <w:tcW w:w="6555" w:type="dxa"/>
            <w:noWrap w:val="0"/>
            <w:vAlign w:val="center"/>
          </w:tcPr>
          <w:p w14:paraId="0A724832">
            <w:pPr>
              <w:spacing w:line="360" w:lineRule="auto"/>
              <w:jc w:val="left"/>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售后服务计划（包括服务内容、服务团队、巡检服务和故障响应时间、解决问题时间、保障措施等）全面、详尽、符合项目特点，完全满足项目要求的，得5分；售后服务计划符合项目特点，基本满足项目要求的，得3分；不符合项目特点、无法保障货物正常运行和维护的，不得分</w:t>
            </w:r>
          </w:p>
        </w:tc>
      </w:tr>
      <w:tr w14:paraId="1F01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133" w:type="dxa"/>
            <w:vMerge w:val="continue"/>
            <w:noWrap w:val="0"/>
            <w:vAlign w:val="center"/>
          </w:tcPr>
          <w:p w14:paraId="2BB6CA2E">
            <w:pPr>
              <w:spacing w:line="360" w:lineRule="auto"/>
              <w:jc w:val="left"/>
              <w:rPr>
                <w:rFonts w:hint="eastAsia" w:ascii="宋体" w:hAnsi="宋体" w:eastAsia="宋体" w:cs="Times New Roman"/>
                <w:color w:val="auto"/>
                <w:sz w:val="24"/>
                <w:szCs w:val="24"/>
                <w:highlight w:val="none"/>
                <w:lang w:val="en-US" w:eastAsia="zh-CN"/>
              </w:rPr>
            </w:pPr>
          </w:p>
        </w:tc>
        <w:tc>
          <w:tcPr>
            <w:tcW w:w="1243" w:type="dxa"/>
            <w:noWrap w:val="0"/>
            <w:vAlign w:val="center"/>
          </w:tcPr>
          <w:p w14:paraId="5B2F586A">
            <w:pPr>
              <w:spacing w:line="360" w:lineRule="auto"/>
              <w:jc w:val="center"/>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优惠承诺</w:t>
            </w:r>
          </w:p>
        </w:tc>
        <w:tc>
          <w:tcPr>
            <w:tcW w:w="826" w:type="dxa"/>
            <w:noWrap w:val="0"/>
            <w:vAlign w:val="center"/>
          </w:tcPr>
          <w:p w14:paraId="0731283E">
            <w:pPr>
              <w:spacing w:line="360" w:lineRule="auto"/>
              <w:jc w:val="center"/>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5分</w:t>
            </w:r>
          </w:p>
        </w:tc>
        <w:tc>
          <w:tcPr>
            <w:tcW w:w="6555" w:type="dxa"/>
            <w:noWrap w:val="0"/>
            <w:vAlign w:val="center"/>
          </w:tcPr>
          <w:p w14:paraId="34AF1AF9">
            <w:pPr>
              <w:spacing w:line="360" w:lineRule="auto"/>
              <w:jc w:val="left"/>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zh-CN" w:eastAsia="zh-CN"/>
              </w:rPr>
              <w:t>具有详细具体的优惠承诺内容：优惠承诺全面、符合</w:t>
            </w:r>
            <w:r>
              <w:rPr>
                <w:rFonts w:hint="eastAsia" w:ascii="宋体" w:hAnsi="宋体" w:eastAsia="宋体" w:cs="Times New Roman"/>
                <w:color w:val="auto"/>
                <w:sz w:val="24"/>
                <w:szCs w:val="24"/>
                <w:highlight w:val="none"/>
                <w:lang w:val="en-US" w:eastAsia="zh-CN"/>
              </w:rPr>
              <w:t>项目</w:t>
            </w:r>
            <w:r>
              <w:rPr>
                <w:rFonts w:hint="eastAsia" w:ascii="宋体" w:hAnsi="宋体" w:eastAsia="宋体" w:cs="Times New Roman"/>
                <w:color w:val="auto"/>
                <w:sz w:val="24"/>
                <w:szCs w:val="24"/>
                <w:highlight w:val="none"/>
                <w:lang w:val="zh-CN" w:eastAsia="zh-CN"/>
              </w:rPr>
              <w:t>实际情况、具有很强的可操作性，得</w:t>
            </w:r>
            <w:r>
              <w:rPr>
                <w:rFonts w:hint="eastAsia" w:ascii="宋体" w:hAnsi="宋体" w:eastAsia="宋体" w:cs="Times New Roman"/>
                <w:color w:val="auto"/>
                <w:sz w:val="24"/>
                <w:szCs w:val="24"/>
                <w:highlight w:val="none"/>
                <w:lang w:val="en-US" w:eastAsia="zh-CN"/>
              </w:rPr>
              <w:t>5</w:t>
            </w:r>
            <w:r>
              <w:rPr>
                <w:rFonts w:hint="eastAsia" w:ascii="宋体" w:hAnsi="宋体" w:eastAsia="宋体" w:cs="Times New Roman"/>
                <w:color w:val="auto"/>
                <w:sz w:val="24"/>
                <w:szCs w:val="24"/>
                <w:highlight w:val="none"/>
                <w:lang w:val="zh-CN" w:eastAsia="zh-CN"/>
              </w:rPr>
              <w:t>分；优惠承诺较为全面、较为符合</w:t>
            </w:r>
            <w:r>
              <w:rPr>
                <w:rFonts w:hint="eastAsia" w:ascii="宋体" w:hAnsi="宋体" w:eastAsia="宋体" w:cs="Times New Roman"/>
                <w:color w:val="auto"/>
                <w:sz w:val="24"/>
                <w:szCs w:val="24"/>
                <w:highlight w:val="none"/>
                <w:lang w:val="en-US" w:eastAsia="zh-CN"/>
              </w:rPr>
              <w:t>项目</w:t>
            </w:r>
            <w:r>
              <w:rPr>
                <w:rFonts w:hint="eastAsia" w:ascii="宋体" w:hAnsi="宋体" w:eastAsia="宋体" w:cs="Times New Roman"/>
                <w:color w:val="auto"/>
                <w:sz w:val="24"/>
                <w:szCs w:val="24"/>
                <w:highlight w:val="none"/>
                <w:lang w:val="zh-CN" w:eastAsia="zh-CN"/>
              </w:rPr>
              <w:t>实际情况、具有操作性设计，得</w:t>
            </w:r>
            <w:r>
              <w:rPr>
                <w:rFonts w:hint="eastAsia" w:ascii="宋体" w:hAnsi="宋体" w:eastAsia="宋体" w:cs="Times New Roman"/>
                <w:color w:val="auto"/>
                <w:sz w:val="24"/>
                <w:szCs w:val="24"/>
                <w:highlight w:val="none"/>
                <w:lang w:val="en-US" w:eastAsia="zh-CN"/>
              </w:rPr>
              <w:t>3</w:t>
            </w:r>
            <w:r>
              <w:rPr>
                <w:rFonts w:hint="eastAsia" w:ascii="宋体" w:hAnsi="宋体" w:eastAsia="宋体" w:cs="Times New Roman"/>
                <w:color w:val="auto"/>
                <w:sz w:val="24"/>
                <w:szCs w:val="24"/>
                <w:highlight w:val="none"/>
                <w:lang w:val="zh-CN" w:eastAsia="zh-CN"/>
              </w:rPr>
              <w:t>分；优惠承诺基本全面、 基本符合</w:t>
            </w:r>
            <w:r>
              <w:rPr>
                <w:rFonts w:hint="eastAsia" w:ascii="宋体" w:hAnsi="宋体" w:eastAsia="宋体" w:cs="Times New Roman"/>
                <w:color w:val="auto"/>
                <w:sz w:val="24"/>
                <w:szCs w:val="24"/>
                <w:highlight w:val="none"/>
                <w:lang w:val="en-US" w:eastAsia="zh-CN"/>
              </w:rPr>
              <w:t>项目</w:t>
            </w:r>
            <w:r>
              <w:rPr>
                <w:rFonts w:hint="eastAsia" w:ascii="宋体" w:hAnsi="宋体" w:eastAsia="宋体" w:cs="Times New Roman"/>
                <w:color w:val="auto"/>
                <w:sz w:val="24"/>
                <w:szCs w:val="24"/>
                <w:highlight w:val="none"/>
                <w:lang w:val="zh-CN" w:eastAsia="zh-CN"/>
              </w:rPr>
              <w:t>实际情况、具有可操作性设计，得1分；</w:t>
            </w:r>
          </w:p>
        </w:tc>
      </w:tr>
      <w:tr w14:paraId="11A0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133" w:type="dxa"/>
            <w:noWrap w:val="0"/>
            <w:vAlign w:val="center"/>
          </w:tcPr>
          <w:p w14:paraId="6AEF9B85">
            <w:pPr>
              <w:spacing w:line="360" w:lineRule="auto"/>
              <w:jc w:val="left"/>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备注</w:t>
            </w:r>
          </w:p>
        </w:tc>
        <w:tc>
          <w:tcPr>
            <w:tcW w:w="8624" w:type="dxa"/>
            <w:gridSpan w:val="3"/>
            <w:noWrap w:val="0"/>
            <w:vAlign w:val="center"/>
          </w:tcPr>
          <w:p w14:paraId="6509870A">
            <w:pPr>
              <w:spacing w:line="360" w:lineRule="auto"/>
              <w:jc w:val="left"/>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以上各评分项若有缺项，对应项不得分；</w:t>
            </w:r>
          </w:p>
        </w:tc>
      </w:tr>
    </w:tbl>
    <w:p w14:paraId="5F1F7466">
      <w:pPr>
        <w:numPr>
          <w:ilvl w:val="0"/>
          <w:numId w:val="0"/>
        </w:numPr>
        <w:spacing w:line="360" w:lineRule="auto"/>
        <w:ind w:left="0" w:leftChars="0" w:firstLine="480" w:firstLineChars="200"/>
        <w:jc w:val="left"/>
        <w:outlineLvl w:val="0"/>
        <w:rPr>
          <w:rFonts w:ascii="宋体"/>
          <w:color w:val="auto"/>
          <w:sz w:val="24"/>
          <w:szCs w:val="24"/>
          <w:highlight w:val="none"/>
        </w:rPr>
      </w:pPr>
      <w:bookmarkStart w:id="109" w:name="_Toc7010"/>
      <w:bookmarkStart w:id="110" w:name="_Toc23021"/>
      <w:r>
        <w:rPr>
          <w:rFonts w:ascii="宋体"/>
          <w:color w:val="auto"/>
          <w:kern w:val="2"/>
          <w:sz w:val="24"/>
          <w:szCs w:val="24"/>
          <w:highlight w:val="none"/>
          <w:lang w:val="en-US" w:eastAsia="zh-CN" w:bidi="ar-SA"/>
        </w:rPr>
        <w:t>5.</w:t>
      </w:r>
      <w:r>
        <w:rPr>
          <w:rFonts w:hint="eastAsia" w:ascii="宋体" w:hAnsi="宋体" w:eastAsia="宋体" w:cs="Times New Roman"/>
          <w:color w:val="auto"/>
          <w:sz w:val="24"/>
          <w:szCs w:val="24"/>
          <w:highlight w:val="none"/>
          <w:lang w:val="en-US" w:eastAsia="zh-CN"/>
        </w:rPr>
        <w:t>计分办法</w:t>
      </w:r>
      <w:bookmarkEnd w:id="109"/>
      <w:bookmarkEnd w:id="110"/>
    </w:p>
    <w:p w14:paraId="6886443E">
      <w:pPr>
        <w:numPr>
          <w:ilvl w:val="0"/>
          <w:numId w:val="0"/>
        </w:numPr>
        <w:spacing w:line="360" w:lineRule="auto"/>
        <w:ind w:firstLine="480" w:firstLineChars="200"/>
        <w:jc w:val="left"/>
        <w:rPr>
          <w:rFonts w:ascii="宋体"/>
          <w:color w:val="auto"/>
          <w:sz w:val="24"/>
          <w:szCs w:val="24"/>
          <w:highlight w:val="none"/>
        </w:rPr>
      </w:pPr>
      <w:r>
        <w:rPr>
          <w:rFonts w:hint="eastAsia" w:ascii="宋体" w:hAnsi="宋体" w:cs="宋体"/>
          <w:color w:val="auto"/>
          <w:sz w:val="24"/>
          <w:szCs w:val="24"/>
          <w:highlight w:val="none"/>
        </w:rPr>
        <w:t>计分过程中按四舍五入的法则，取至小数点后2位，投标供应商的最终得分为所有评委打分的算术平均值，最终结果取至小数点后</w:t>
      </w:r>
      <w:r>
        <w:rPr>
          <w:rFonts w:ascii="宋体" w:hAnsi="宋体" w:cs="宋体"/>
          <w:color w:val="auto"/>
          <w:sz w:val="24"/>
          <w:szCs w:val="24"/>
          <w:highlight w:val="none"/>
        </w:rPr>
        <w:t>2</w:t>
      </w:r>
      <w:r>
        <w:rPr>
          <w:rFonts w:hint="eastAsia" w:ascii="宋体" w:hAnsi="宋体" w:cs="宋体"/>
          <w:color w:val="auto"/>
          <w:sz w:val="24"/>
          <w:szCs w:val="24"/>
          <w:highlight w:val="none"/>
        </w:rPr>
        <w:t>位。评标委员会将按投标供应商得分高低排序向采购人推荐前三名为中标候选人。</w:t>
      </w:r>
      <w:r>
        <w:rPr>
          <w:rFonts w:ascii="宋体"/>
          <w:color w:val="auto"/>
          <w:sz w:val="24"/>
          <w:szCs w:val="24"/>
          <w:highlight w:val="none"/>
        </w:rPr>
        <w:br w:type="textWrapping"/>
      </w:r>
      <w:r>
        <w:rPr>
          <w:rFonts w:ascii="宋体" w:hAnsi="宋体" w:cs="宋体"/>
          <w:color w:val="auto"/>
          <w:sz w:val="24"/>
          <w:szCs w:val="24"/>
          <w:highlight w:val="none"/>
        </w:rPr>
        <w:t xml:space="preserve">    6.</w:t>
      </w:r>
      <w:r>
        <w:rPr>
          <w:rFonts w:hint="eastAsia" w:ascii="宋体" w:hAnsi="宋体" w:cs="宋体"/>
          <w:color w:val="auto"/>
          <w:sz w:val="24"/>
          <w:szCs w:val="24"/>
          <w:highlight w:val="none"/>
        </w:rPr>
        <w:t>定标</w:t>
      </w:r>
      <w:r>
        <w:rPr>
          <w:rFonts w:ascii="宋体"/>
          <w:color w:val="auto"/>
          <w:sz w:val="24"/>
          <w:szCs w:val="24"/>
          <w:highlight w:val="none"/>
        </w:rPr>
        <w:br w:type="textWrapping"/>
      </w:r>
      <w:r>
        <w:rPr>
          <w:rFonts w:hint="eastAsia" w:ascii="宋体" w:hAnsi="宋体" w:cs="宋体"/>
          <w:color w:val="auto"/>
          <w:sz w:val="24"/>
          <w:szCs w:val="24"/>
          <w:highlight w:val="none"/>
        </w:rPr>
        <w:t xml:space="preserve">    按评委计分结果</w:t>
      </w:r>
      <w:r>
        <w:rPr>
          <w:rFonts w:ascii="宋体" w:cs="宋体"/>
          <w:color w:val="auto"/>
          <w:sz w:val="24"/>
          <w:szCs w:val="24"/>
          <w:highlight w:val="none"/>
        </w:rPr>
        <w:t>,</w:t>
      </w:r>
      <w:r>
        <w:rPr>
          <w:rFonts w:hint="eastAsia" w:ascii="宋体" w:hAnsi="宋体" w:cs="宋体"/>
          <w:color w:val="auto"/>
          <w:sz w:val="24"/>
          <w:szCs w:val="24"/>
          <w:highlight w:val="none"/>
        </w:rPr>
        <w:t>评标委员会按照得分由高到低的顺序推荐</w:t>
      </w:r>
      <w:r>
        <w:rPr>
          <w:rFonts w:ascii="宋体" w:hAnsi="宋体" w:cs="宋体"/>
          <w:color w:val="auto"/>
          <w:sz w:val="24"/>
          <w:szCs w:val="24"/>
          <w:highlight w:val="none"/>
        </w:rPr>
        <w:t>3</w:t>
      </w:r>
      <w:r>
        <w:rPr>
          <w:rFonts w:hint="eastAsia" w:ascii="宋体" w:hAnsi="宋体" w:cs="宋体"/>
          <w:color w:val="auto"/>
          <w:sz w:val="24"/>
          <w:szCs w:val="24"/>
          <w:highlight w:val="none"/>
        </w:rPr>
        <w:t>名中标候选人，并向采购人提供书面评标报告。</w:t>
      </w:r>
    </w:p>
    <w:p w14:paraId="4D08C06C">
      <w:pPr>
        <w:numPr>
          <w:ilvl w:val="0"/>
          <w:numId w:val="0"/>
        </w:numPr>
        <w:tabs>
          <w:tab w:val="left" w:pos="1995"/>
          <w:tab w:val="left" w:pos="2846"/>
        </w:tabs>
        <w:spacing w:after="156" w:afterLines="50" w:line="520" w:lineRule="exact"/>
        <w:jc w:val="center"/>
        <w:rPr>
          <w:rFonts w:hint="eastAsia" w:ascii="宋体" w:hAnsi="宋体" w:cs="宋体"/>
          <w:b/>
          <w:bCs/>
          <w:color w:val="auto"/>
          <w:kern w:val="0"/>
          <w:sz w:val="36"/>
          <w:szCs w:val="36"/>
          <w:highlight w:val="none"/>
          <w:lang w:val="en-US" w:eastAsia="zh-CN" w:bidi="ar-SA"/>
        </w:rPr>
      </w:pPr>
    </w:p>
    <w:p w14:paraId="0F16F88B">
      <w:pPr>
        <w:numPr>
          <w:ilvl w:val="0"/>
          <w:numId w:val="0"/>
        </w:numPr>
        <w:tabs>
          <w:tab w:val="left" w:pos="1995"/>
          <w:tab w:val="left" w:pos="2846"/>
        </w:tabs>
        <w:spacing w:after="156" w:afterLines="50" w:line="520" w:lineRule="exact"/>
        <w:jc w:val="center"/>
        <w:rPr>
          <w:rFonts w:hint="eastAsia" w:ascii="宋体" w:hAnsi="宋体" w:cs="宋体"/>
          <w:b/>
          <w:bCs/>
          <w:color w:val="auto"/>
          <w:kern w:val="0"/>
          <w:sz w:val="36"/>
          <w:szCs w:val="36"/>
          <w:highlight w:val="none"/>
          <w:lang w:val="en-US" w:eastAsia="zh-CN" w:bidi="ar-SA"/>
        </w:rPr>
      </w:pPr>
    </w:p>
    <w:p w14:paraId="76C23DD6">
      <w:pPr>
        <w:numPr>
          <w:ilvl w:val="0"/>
          <w:numId w:val="0"/>
        </w:numPr>
        <w:tabs>
          <w:tab w:val="left" w:pos="1995"/>
          <w:tab w:val="left" w:pos="2846"/>
        </w:tabs>
        <w:spacing w:after="156" w:afterLines="50" w:line="520" w:lineRule="exact"/>
        <w:jc w:val="center"/>
        <w:rPr>
          <w:rFonts w:hint="eastAsia" w:ascii="宋体" w:hAnsi="宋体" w:cs="宋体"/>
          <w:b/>
          <w:bCs/>
          <w:color w:val="auto"/>
          <w:kern w:val="0"/>
          <w:sz w:val="36"/>
          <w:szCs w:val="36"/>
          <w:highlight w:val="none"/>
          <w:lang w:val="en-US" w:eastAsia="zh-CN" w:bidi="ar-SA"/>
        </w:rPr>
      </w:pPr>
    </w:p>
    <w:p w14:paraId="09C2E898">
      <w:pPr>
        <w:rPr>
          <w:rFonts w:hint="eastAsia" w:ascii="宋体" w:hAnsi="宋体" w:cs="宋体"/>
          <w:b/>
          <w:bCs/>
          <w:color w:val="auto"/>
          <w:kern w:val="0"/>
          <w:sz w:val="36"/>
          <w:szCs w:val="36"/>
          <w:highlight w:val="none"/>
          <w:lang w:val="en-US" w:eastAsia="zh-CN" w:bidi="ar-SA"/>
        </w:rPr>
      </w:pPr>
      <w:r>
        <w:rPr>
          <w:rFonts w:hint="eastAsia" w:ascii="宋体" w:hAnsi="宋体" w:cs="宋体"/>
          <w:b/>
          <w:bCs/>
          <w:color w:val="auto"/>
          <w:kern w:val="0"/>
          <w:sz w:val="36"/>
          <w:szCs w:val="36"/>
          <w:highlight w:val="none"/>
          <w:lang w:val="en-US" w:eastAsia="zh-CN" w:bidi="ar-SA"/>
        </w:rPr>
        <w:br w:type="page"/>
      </w:r>
    </w:p>
    <w:p w14:paraId="2A476099">
      <w:pPr>
        <w:numPr>
          <w:ilvl w:val="0"/>
          <w:numId w:val="0"/>
        </w:numPr>
        <w:tabs>
          <w:tab w:val="left" w:pos="1995"/>
          <w:tab w:val="left" w:pos="2846"/>
        </w:tabs>
        <w:spacing w:after="156" w:afterLines="50" w:line="520" w:lineRule="exact"/>
        <w:ind w:left="0" w:leftChars="0" w:firstLine="0" w:firstLineChars="0"/>
        <w:jc w:val="center"/>
        <w:outlineLvl w:val="0"/>
        <w:rPr>
          <w:rFonts w:hint="eastAsia" w:ascii="宋体" w:hAnsi="宋体" w:cs="宋体"/>
          <w:b/>
          <w:bCs/>
          <w:color w:val="auto"/>
          <w:kern w:val="0"/>
          <w:sz w:val="36"/>
          <w:szCs w:val="36"/>
          <w:highlight w:val="none"/>
          <w:lang w:val="en-US" w:eastAsia="zh-CN"/>
        </w:rPr>
      </w:pPr>
      <w:bookmarkStart w:id="111" w:name="_Toc9032"/>
      <w:r>
        <w:rPr>
          <w:rFonts w:hint="eastAsia" w:ascii="宋体" w:hAnsi="宋体" w:cs="宋体"/>
          <w:b/>
          <w:bCs/>
          <w:color w:val="auto"/>
          <w:kern w:val="0"/>
          <w:sz w:val="36"/>
          <w:szCs w:val="36"/>
          <w:highlight w:val="none"/>
          <w:lang w:val="en-US" w:eastAsia="zh-CN" w:bidi="ar-SA"/>
        </w:rPr>
        <w:t>第五章</w:t>
      </w:r>
      <w:r>
        <w:rPr>
          <w:rFonts w:hint="eastAsia" w:ascii="宋体" w:hAnsi="宋体" w:cs="宋体"/>
          <w:b/>
          <w:bCs/>
          <w:color w:val="auto"/>
          <w:kern w:val="0"/>
          <w:sz w:val="36"/>
          <w:szCs w:val="36"/>
          <w:highlight w:val="none"/>
          <w:lang w:val="en-US" w:eastAsia="zh-CN"/>
        </w:rPr>
        <w:t xml:space="preserve">  合同条款及格式</w:t>
      </w:r>
      <w:bookmarkEnd w:id="111"/>
    </w:p>
    <w:p w14:paraId="478FB4CA">
      <w:pPr>
        <w:widowControl/>
        <w:snapToGrid w:val="0"/>
        <w:spacing w:line="520" w:lineRule="exact"/>
        <w:ind w:firstLine="482" w:firstLineChars="200"/>
        <w:jc w:val="center"/>
        <w:rPr>
          <w:rFonts w:ascii="宋体"/>
          <w:color w:val="auto"/>
          <w:kern w:val="0"/>
          <w:sz w:val="24"/>
          <w:szCs w:val="24"/>
          <w:highlight w:val="none"/>
        </w:rPr>
      </w:pPr>
      <w:r>
        <w:rPr>
          <w:rFonts w:hint="eastAsia" w:ascii="宋体" w:hAnsi="宋体" w:cs="宋体"/>
          <w:b/>
          <w:bCs/>
          <w:color w:val="auto"/>
          <w:kern w:val="0"/>
          <w:sz w:val="24"/>
          <w:szCs w:val="24"/>
          <w:highlight w:val="none"/>
        </w:rPr>
        <w:t>（</w:t>
      </w:r>
      <w:r>
        <w:rPr>
          <w:rFonts w:hint="eastAsia" w:ascii="宋体" w:hAnsi="宋体" w:cs="宋体"/>
          <w:color w:val="auto"/>
          <w:kern w:val="0"/>
          <w:sz w:val="24"/>
          <w:szCs w:val="24"/>
          <w:highlight w:val="none"/>
        </w:rPr>
        <w:t>采购人可根据采购项目的实际情况增减条款和内容</w:t>
      </w:r>
      <w:r>
        <w:rPr>
          <w:rFonts w:hint="eastAsia" w:ascii="宋体" w:hAnsi="宋体" w:cs="宋体"/>
          <w:b/>
          <w:bCs/>
          <w:color w:val="auto"/>
          <w:kern w:val="0"/>
          <w:sz w:val="24"/>
          <w:szCs w:val="24"/>
          <w:highlight w:val="none"/>
        </w:rPr>
        <w:t>）</w:t>
      </w:r>
    </w:p>
    <w:p w14:paraId="239FC5D6">
      <w:pPr>
        <w:widowControl/>
        <w:snapToGrid w:val="0"/>
        <w:spacing w:line="52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项目名称：</w:t>
      </w:r>
    </w:p>
    <w:p w14:paraId="6FD28E97">
      <w:pPr>
        <w:widowControl/>
        <w:snapToGrid w:val="0"/>
        <w:spacing w:line="520" w:lineRule="exact"/>
        <w:ind w:firstLine="480" w:firstLineChars="200"/>
        <w:jc w:val="left"/>
        <w:rPr>
          <w:rFonts w:ascii="宋体"/>
          <w:color w:val="auto"/>
          <w:kern w:val="0"/>
          <w:sz w:val="24"/>
          <w:szCs w:val="24"/>
          <w:highlight w:val="none"/>
        </w:rPr>
      </w:pPr>
      <w:r>
        <w:rPr>
          <w:rFonts w:hint="eastAsia" w:ascii="宋体" w:hAnsi="宋体" w:cs="宋体"/>
          <w:color w:val="auto"/>
          <w:kern w:val="0"/>
          <w:sz w:val="24"/>
          <w:szCs w:val="24"/>
          <w:highlight w:val="none"/>
        </w:rPr>
        <w:t>招标编号：</w:t>
      </w:r>
    </w:p>
    <w:p w14:paraId="043C9F56">
      <w:pPr>
        <w:widowControl/>
        <w:snapToGrid w:val="0"/>
        <w:spacing w:line="520" w:lineRule="exact"/>
        <w:ind w:firstLine="480" w:firstLineChars="200"/>
        <w:jc w:val="left"/>
        <w:rPr>
          <w:rFonts w:ascii="宋体"/>
          <w:color w:val="auto"/>
          <w:kern w:val="0"/>
          <w:sz w:val="24"/>
          <w:szCs w:val="24"/>
          <w:highlight w:val="none"/>
        </w:rPr>
      </w:pPr>
      <w:r>
        <w:rPr>
          <w:rFonts w:hint="eastAsia" w:ascii="宋体" w:hAnsi="宋体" w:cs="宋体"/>
          <w:color w:val="auto"/>
          <w:kern w:val="0"/>
          <w:sz w:val="24"/>
          <w:szCs w:val="24"/>
          <w:highlight w:val="none"/>
        </w:rPr>
        <w:t>甲方：（采购人）</w:t>
      </w:r>
    </w:p>
    <w:p w14:paraId="1DD2B9CD">
      <w:pPr>
        <w:widowControl/>
        <w:snapToGrid w:val="0"/>
        <w:spacing w:line="520" w:lineRule="exact"/>
        <w:ind w:firstLine="480" w:firstLineChars="200"/>
        <w:jc w:val="left"/>
        <w:rPr>
          <w:rFonts w:ascii="宋体"/>
          <w:color w:val="auto"/>
          <w:kern w:val="0"/>
          <w:sz w:val="24"/>
          <w:szCs w:val="24"/>
          <w:highlight w:val="none"/>
        </w:rPr>
      </w:pPr>
      <w:r>
        <w:rPr>
          <w:rFonts w:hint="eastAsia" w:ascii="宋体" w:hAnsi="宋体" w:cs="宋体"/>
          <w:color w:val="auto"/>
          <w:kern w:val="0"/>
          <w:sz w:val="24"/>
          <w:szCs w:val="24"/>
          <w:highlight w:val="none"/>
        </w:rPr>
        <w:t>乙方：（中标供应商）</w:t>
      </w:r>
    </w:p>
    <w:p w14:paraId="3A7EB48A">
      <w:pPr>
        <w:widowControl/>
        <w:snapToGrid w:val="0"/>
        <w:spacing w:line="520" w:lineRule="exact"/>
        <w:ind w:firstLine="480" w:firstLineChars="200"/>
        <w:jc w:val="left"/>
        <w:rPr>
          <w:rFonts w:ascii="宋体"/>
          <w:color w:val="auto"/>
          <w:kern w:val="0"/>
          <w:sz w:val="24"/>
          <w:szCs w:val="24"/>
          <w:highlight w:val="none"/>
        </w:rPr>
      </w:pPr>
      <w:r>
        <w:rPr>
          <w:rFonts w:hint="eastAsia" w:ascii="宋体" w:hAnsi="宋体" w:cs="宋体"/>
          <w:color w:val="auto"/>
          <w:kern w:val="0"/>
          <w:sz w:val="24"/>
          <w:szCs w:val="24"/>
          <w:highlight w:val="none"/>
        </w:rPr>
        <w:t>甲、乙双方根据《中华人民共和国采购法》、《中华人民共和国合同法》等法律法规的规定，按照</w:t>
      </w:r>
      <w:r>
        <w:rPr>
          <w:rFonts w:hint="eastAsia" w:ascii="宋体" w:hAnsi="宋体" w:cs="宋体"/>
          <w:color w:val="auto"/>
          <w:kern w:val="0"/>
          <w:sz w:val="24"/>
          <w:szCs w:val="24"/>
          <w:highlight w:val="none"/>
          <w:u w:val="single"/>
        </w:rPr>
        <w:t>（</w:t>
      </w:r>
      <w:r>
        <w:rPr>
          <w:rFonts w:hint="eastAsia" w:ascii="宋体" w:hAnsi="宋体" w:cs="宋体"/>
          <w:color w:val="auto"/>
          <w:kern w:val="0"/>
          <w:sz w:val="24"/>
          <w:szCs w:val="24"/>
          <w:highlight w:val="none"/>
        </w:rPr>
        <w:t>招标编号）的招标结果签订本合同。</w:t>
      </w:r>
    </w:p>
    <w:p w14:paraId="3F870020">
      <w:pPr>
        <w:widowControl/>
        <w:snapToGrid w:val="0"/>
        <w:spacing w:line="520" w:lineRule="exact"/>
        <w:ind w:firstLine="482" w:firstLineChars="200"/>
        <w:jc w:val="left"/>
        <w:outlineLvl w:val="0"/>
        <w:rPr>
          <w:rFonts w:ascii="宋体"/>
          <w:color w:val="auto"/>
          <w:kern w:val="0"/>
          <w:sz w:val="24"/>
          <w:szCs w:val="24"/>
          <w:highlight w:val="none"/>
        </w:rPr>
      </w:pPr>
      <w:bookmarkStart w:id="112" w:name="_Toc20904"/>
      <w:bookmarkStart w:id="113" w:name="_Toc20962"/>
      <w:r>
        <w:rPr>
          <w:rFonts w:ascii="宋体" w:hAnsi="宋体" w:cs="宋体"/>
          <w:b/>
          <w:bCs/>
          <w:color w:val="auto"/>
          <w:kern w:val="0"/>
          <w:sz w:val="24"/>
          <w:szCs w:val="24"/>
          <w:highlight w:val="none"/>
        </w:rPr>
        <w:t>1.</w:t>
      </w:r>
      <w:r>
        <w:rPr>
          <w:rFonts w:hint="eastAsia" w:ascii="宋体" w:hAnsi="宋体" w:cs="宋体"/>
          <w:b/>
          <w:bCs/>
          <w:color w:val="auto"/>
          <w:kern w:val="0"/>
          <w:sz w:val="24"/>
          <w:szCs w:val="24"/>
          <w:highlight w:val="none"/>
        </w:rPr>
        <w:t>货物内容</w:t>
      </w:r>
      <w:bookmarkEnd w:id="112"/>
      <w:bookmarkEnd w:id="113"/>
    </w:p>
    <w:p w14:paraId="3378A7FC">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1.1 </w:t>
      </w:r>
      <w:r>
        <w:rPr>
          <w:rFonts w:hint="eastAsia" w:ascii="宋体" w:hAnsi="宋体" w:cs="宋体"/>
          <w:color w:val="auto"/>
          <w:kern w:val="0"/>
          <w:sz w:val="24"/>
          <w:szCs w:val="24"/>
          <w:highlight w:val="none"/>
        </w:rPr>
        <w:t>货物名称：</w:t>
      </w:r>
    </w:p>
    <w:p w14:paraId="1613E78A">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1.2 </w:t>
      </w:r>
      <w:r>
        <w:rPr>
          <w:rFonts w:hint="eastAsia" w:ascii="宋体" w:hAnsi="宋体" w:cs="宋体"/>
          <w:color w:val="auto"/>
          <w:kern w:val="0"/>
          <w:sz w:val="24"/>
          <w:szCs w:val="24"/>
          <w:highlight w:val="none"/>
        </w:rPr>
        <w:t>型号规格：</w:t>
      </w:r>
    </w:p>
    <w:p w14:paraId="19760C80">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1.3 </w:t>
      </w:r>
      <w:r>
        <w:rPr>
          <w:rFonts w:hint="eastAsia" w:ascii="宋体" w:hAnsi="宋体" w:cs="宋体"/>
          <w:color w:val="auto"/>
          <w:kern w:val="0"/>
          <w:sz w:val="24"/>
          <w:szCs w:val="24"/>
          <w:highlight w:val="none"/>
        </w:rPr>
        <w:t>技术参数：</w:t>
      </w:r>
    </w:p>
    <w:p w14:paraId="4BA0DD67">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1.4 </w:t>
      </w:r>
      <w:r>
        <w:rPr>
          <w:rFonts w:hint="eastAsia" w:ascii="宋体" w:hAnsi="宋体" w:cs="宋体"/>
          <w:color w:val="auto"/>
          <w:kern w:val="0"/>
          <w:sz w:val="24"/>
          <w:szCs w:val="24"/>
          <w:highlight w:val="none"/>
        </w:rPr>
        <w:t>数量（单位）：</w:t>
      </w:r>
    </w:p>
    <w:p w14:paraId="59501B3A">
      <w:pPr>
        <w:widowControl/>
        <w:snapToGrid w:val="0"/>
        <w:spacing w:line="520" w:lineRule="exact"/>
        <w:ind w:firstLine="482" w:firstLineChars="200"/>
        <w:jc w:val="left"/>
        <w:outlineLvl w:val="0"/>
        <w:rPr>
          <w:rFonts w:ascii="宋体"/>
          <w:color w:val="auto"/>
          <w:kern w:val="0"/>
          <w:sz w:val="24"/>
          <w:szCs w:val="24"/>
          <w:highlight w:val="none"/>
        </w:rPr>
      </w:pPr>
      <w:bookmarkStart w:id="114" w:name="_Toc20675"/>
      <w:bookmarkStart w:id="115" w:name="_Toc17485"/>
      <w:r>
        <w:rPr>
          <w:rFonts w:ascii="宋体" w:hAnsi="宋体" w:cs="宋体"/>
          <w:b/>
          <w:bCs/>
          <w:color w:val="auto"/>
          <w:kern w:val="0"/>
          <w:sz w:val="24"/>
          <w:szCs w:val="24"/>
          <w:highlight w:val="none"/>
        </w:rPr>
        <w:t>2.</w:t>
      </w:r>
      <w:r>
        <w:rPr>
          <w:rFonts w:hint="eastAsia" w:ascii="宋体" w:hAnsi="宋体" w:cs="宋体"/>
          <w:b/>
          <w:bCs/>
          <w:color w:val="auto"/>
          <w:kern w:val="0"/>
          <w:sz w:val="24"/>
          <w:szCs w:val="24"/>
          <w:highlight w:val="none"/>
        </w:rPr>
        <w:t>合同金额</w:t>
      </w:r>
      <w:bookmarkEnd w:id="114"/>
      <w:bookmarkEnd w:id="115"/>
    </w:p>
    <w:p w14:paraId="731B09CE">
      <w:pPr>
        <w:widowControl/>
        <w:snapToGrid w:val="0"/>
        <w:spacing w:line="520" w:lineRule="exact"/>
        <w:ind w:firstLine="480" w:firstLineChars="200"/>
        <w:jc w:val="left"/>
        <w:rPr>
          <w:rFonts w:ascii="宋体"/>
          <w:color w:val="auto"/>
          <w:kern w:val="0"/>
          <w:sz w:val="24"/>
          <w:szCs w:val="24"/>
          <w:highlight w:val="none"/>
        </w:rPr>
      </w:pPr>
      <w:r>
        <w:rPr>
          <w:rFonts w:hint="eastAsia" w:ascii="宋体" w:hAnsi="宋体" w:cs="宋体"/>
          <w:color w:val="auto"/>
          <w:kern w:val="0"/>
          <w:sz w:val="24"/>
          <w:szCs w:val="24"/>
          <w:highlight w:val="none"/>
        </w:rPr>
        <w:t>本合同金额为人民币（大写）：</w:t>
      </w:r>
      <w:r>
        <w:rPr>
          <w:rFonts w:ascii="宋体" w:hAnsi="宋体" w:cs="宋体"/>
          <w:color w:val="auto"/>
          <w:kern w:val="0"/>
          <w:sz w:val="24"/>
          <w:szCs w:val="24"/>
          <w:highlight w:val="none"/>
        </w:rPr>
        <w:t>_____</w:t>
      </w:r>
      <w:r>
        <w:rPr>
          <w:rFonts w:ascii="宋体" w:hAnsi="宋体" w:cs="宋体"/>
          <w:color w:val="auto"/>
          <w:kern w:val="0"/>
          <w:sz w:val="24"/>
          <w:szCs w:val="24"/>
          <w:highlight w:val="none"/>
          <w:u w:val="single"/>
        </w:rPr>
        <w:t>_</w:t>
      </w:r>
      <w:r>
        <w:rPr>
          <w:rFonts w:ascii="宋体" w:hAnsi="宋体" w:cs="宋体"/>
          <w:color w:val="auto"/>
          <w:kern w:val="0"/>
          <w:sz w:val="24"/>
          <w:szCs w:val="24"/>
          <w:highlight w:val="none"/>
        </w:rPr>
        <w:t>_____</w:t>
      </w:r>
      <w:r>
        <w:rPr>
          <w:rFonts w:hint="eastAsia" w:ascii="宋体" w:hAnsi="宋体" w:cs="宋体"/>
          <w:color w:val="auto"/>
          <w:kern w:val="0"/>
          <w:sz w:val="24"/>
          <w:szCs w:val="24"/>
          <w:highlight w:val="none"/>
        </w:rPr>
        <w:t>元（￥</w:t>
      </w:r>
      <w:r>
        <w:rPr>
          <w:rFonts w:ascii="宋体" w:hAnsi="宋体" w:cs="宋体"/>
          <w:color w:val="auto"/>
          <w:kern w:val="0"/>
          <w:sz w:val="24"/>
          <w:szCs w:val="24"/>
          <w:highlight w:val="none"/>
        </w:rPr>
        <w:t>________</w:t>
      </w:r>
      <w:r>
        <w:rPr>
          <w:rFonts w:hint="eastAsia" w:ascii="宋体" w:hAnsi="宋体" w:cs="宋体"/>
          <w:color w:val="auto"/>
          <w:kern w:val="0"/>
          <w:sz w:val="24"/>
          <w:szCs w:val="24"/>
          <w:highlight w:val="none"/>
        </w:rPr>
        <w:t>元）。</w:t>
      </w:r>
    </w:p>
    <w:p w14:paraId="3EB1981E">
      <w:pPr>
        <w:widowControl/>
        <w:snapToGrid w:val="0"/>
        <w:spacing w:line="520" w:lineRule="exact"/>
        <w:ind w:firstLine="482" w:firstLineChars="200"/>
        <w:jc w:val="left"/>
        <w:outlineLvl w:val="0"/>
        <w:rPr>
          <w:rFonts w:ascii="宋体"/>
          <w:color w:val="auto"/>
          <w:kern w:val="0"/>
          <w:sz w:val="24"/>
          <w:szCs w:val="24"/>
          <w:highlight w:val="none"/>
        </w:rPr>
      </w:pPr>
      <w:bookmarkStart w:id="116" w:name="_Toc17184"/>
      <w:bookmarkStart w:id="117" w:name="_Toc29698"/>
      <w:r>
        <w:rPr>
          <w:rFonts w:ascii="宋体" w:hAnsi="宋体" w:cs="宋体"/>
          <w:b/>
          <w:bCs/>
          <w:color w:val="auto"/>
          <w:kern w:val="0"/>
          <w:sz w:val="24"/>
          <w:szCs w:val="24"/>
          <w:highlight w:val="none"/>
        </w:rPr>
        <w:t>3.</w:t>
      </w:r>
      <w:r>
        <w:rPr>
          <w:rFonts w:hint="eastAsia" w:ascii="宋体" w:hAnsi="宋体" w:cs="宋体"/>
          <w:b/>
          <w:bCs/>
          <w:color w:val="auto"/>
          <w:kern w:val="0"/>
          <w:sz w:val="24"/>
          <w:szCs w:val="24"/>
          <w:highlight w:val="none"/>
        </w:rPr>
        <w:t>技术资料</w:t>
      </w:r>
      <w:bookmarkEnd w:id="116"/>
      <w:bookmarkEnd w:id="117"/>
    </w:p>
    <w:p w14:paraId="286C14AA">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3.1</w:t>
      </w:r>
      <w:r>
        <w:rPr>
          <w:rFonts w:hint="eastAsia" w:ascii="宋体" w:hAnsi="宋体" w:cs="宋体"/>
          <w:color w:val="auto"/>
          <w:kern w:val="0"/>
          <w:sz w:val="24"/>
          <w:szCs w:val="24"/>
          <w:highlight w:val="none"/>
        </w:rPr>
        <w:t>乙方按招标文件规定的时间向甲方提供使用货物的有关技术资料。</w:t>
      </w:r>
    </w:p>
    <w:p w14:paraId="71805664">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3.2 </w:t>
      </w:r>
      <w:r>
        <w:rPr>
          <w:rFonts w:hint="eastAsia" w:ascii="宋体" w:hAnsi="宋体" w:cs="宋体"/>
          <w:color w:val="auto"/>
          <w:kern w:val="0"/>
          <w:sz w:val="24"/>
          <w:szCs w:val="24"/>
          <w:highlight w:val="none"/>
        </w:rPr>
        <w:t>没有甲方事先书面同意，乙方不得将由甲方提供的有关合同或任何合同条文、规格、计划、图纸、样品或资料提供给与履行本合同无关的任何其他人。</w:t>
      </w:r>
    </w:p>
    <w:p w14:paraId="15379933">
      <w:pPr>
        <w:widowControl/>
        <w:snapToGrid w:val="0"/>
        <w:spacing w:line="520" w:lineRule="exact"/>
        <w:ind w:firstLine="482" w:firstLineChars="200"/>
        <w:jc w:val="left"/>
        <w:outlineLvl w:val="0"/>
        <w:rPr>
          <w:rFonts w:ascii="宋体"/>
          <w:color w:val="auto"/>
          <w:kern w:val="0"/>
          <w:sz w:val="24"/>
          <w:szCs w:val="24"/>
          <w:highlight w:val="none"/>
        </w:rPr>
      </w:pPr>
      <w:bookmarkStart w:id="118" w:name="_Toc10958"/>
      <w:bookmarkStart w:id="119" w:name="_Toc31058"/>
      <w:r>
        <w:rPr>
          <w:rFonts w:ascii="宋体" w:hAnsi="宋体" w:cs="宋体"/>
          <w:b/>
          <w:bCs/>
          <w:color w:val="auto"/>
          <w:kern w:val="0"/>
          <w:sz w:val="24"/>
          <w:szCs w:val="24"/>
          <w:highlight w:val="none"/>
        </w:rPr>
        <w:t>4.</w:t>
      </w:r>
      <w:r>
        <w:rPr>
          <w:rFonts w:hint="eastAsia" w:ascii="宋体" w:hAnsi="宋体" w:cs="宋体"/>
          <w:b/>
          <w:bCs/>
          <w:color w:val="auto"/>
          <w:kern w:val="0"/>
          <w:sz w:val="24"/>
          <w:szCs w:val="24"/>
          <w:highlight w:val="none"/>
        </w:rPr>
        <w:t>知识产权</w:t>
      </w:r>
      <w:bookmarkEnd w:id="118"/>
      <w:bookmarkEnd w:id="119"/>
    </w:p>
    <w:p w14:paraId="2942C480">
      <w:pPr>
        <w:widowControl/>
        <w:snapToGrid w:val="0"/>
        <w:spacing w:line="520" w:lineRule="exact"/>
        <w:ind w:firstLine="480" w:firstLineChars="200"/>
        <w:jc w:val="left"/>
        <w:rPr>
          <w:rFonts w:ascii="宋体"/>
          <w:color w:val="auto"/>
          <w:kern w:val="0"/>
          <w:sz w:val="24"/>
          <w:szCs w:val="24"/>
          <w:highlight w:val="none"/>
        </w:rPr>
      </w:pPr>
      <w:r>
        <w:rPr>
          <w:rFonts w:hint="eastAsia" w:ascii="宋体" w:hAnsi="宋体" w:cs="宋体"/>
          <w:color w:val="auto"/>
          <w:kern w:val="0"/>
          <w:sz w:val="24"/>
          <w:szCs w:val="24"/>
          <w:highlight w:val="none"/>
        </w:rPr>
        <w:t>乙方保证所提供的货物或其任何一部分均不会侵犯任何第三方的知识产权。</w:t>
      </w:r>
    </w:p>
    <w:p w14:paraId="413A0416">
      <w:pPr>
        <w:widowControl/>
        <w:snapToGrid w:val="0"/>
        <w:spacing w:line="520" w:lineRule="exact"/>
        <w:ind w:firstLine="482" w:firstLineChars="200"/>
        <w:jc w:val="left"/>
        <w:outlineLvl w:val="0"/>
        <w:rPr>
          <w:rFonts w:ascii="宋体"/>
          <w:color w:val="auto"/>
          <w:kern w:val="0"/>
          <w:sz w:val="24"/>
          <w:szCs w:val="24"/>
          <w:highlight w:val="none"/>
        </w:rPr>
      </w:pPr>
      <w:bookmarkStart w:id="120" w:name="_Toc25662"/>
      <w:bookmarkStart w:id="121" w:name="_Toc23014"/>
      <w:r>
        <w:rPr>
          <w:rFonts w:ascii="宋体" w:hAnsi="宋体" w:cs="宋体"/>
          <w:b/>
          <w:bCs/>
          <w:color w:val="auto"/>
          <w:kern w:val="0"/>
          <w:sz w:val="24"/>
          <w:szCs w:val="24"/>
          <w:highlight w:val="none"/>
        </w:rPr>
        <w:t>5.</w:t>
      </w:r>
      <w:r>
        <w:rPr>
          <w:rFonts w:hint="eastAsia" w:ascii="宋体" w:hAnsi="宋体" w:cs="宋体"/>
          <w:b/>
          <w:bCs/>
          <w:color w:val="auto"/>
          <w:kern w:val="0"/>
          <w:sz w:val="24"/>
          <w:szCs w:val="24"/>
          <w:highlight w:val="none"/>
        </w:rPr>
        <w:t>产权担保</w:t>
      </w:r>
      <w:bookmarkEnd w:id="120"/>
      <w:bookmarkEnd w:id="121"/>
    </w:p>
    <w:p w14:paraId="586DB93D">
      <w:pPr>
        <w:widowControl/>
        <w:snapToGrid w:val="0"/>
        <w:spacing w:line="520" w:lineRule="exact"/>
        <w:ind w:firstLine="480" w:firstLineChars="200"/>
        <w:jc w:val="left"/>
        <w:rPr>
          <w:rFonts w:ascii="宋体"/>
          <w:color w:val="auto"/>
          <w:kern w:val="0"/>
          <w:sz w:val="24"/>
          <w:szCs w:val="24"/>
          <w:highlight w:val="none"/>
        </w:rPr>
      </w:pPr>
      <w:r>
        <w:rPr>
          <w:rFonts w:hint="eastAsia" w:ascii="宋体" w:hAnsi="宋体" w:cs="宋体"/>
          <w:color w:val="auto"/>
          <w:kern w:val="0"/>
          <w:sz w:val="24"/>
          <w:szCs w:val="24"/>
          <w:highlight w:val="none"/>
        </w:rPr>
        <w:t>乙方保证所交付的货物的所有权完全属于乙方且无任何抵押、查封等产权瑕疵。</w:t>
      </w:r>
    </w:p>
    <w:p w14:paraId="31F49F07">
      <w:pPr>
        <w:widowControl/>
        <w:snapToGrid w:val="0"/>
        <w:spacing w:line="520" w:lineRule="exact"/>
        <w:ind w:firstLine="482" w:firstLineChars="200"/>
        <w:jc w:val="left"/>
        <w:outlineLvl w:val="0"/>
        <w:rPr>
          <w:rFonts w:ascii="宋体"/>
          <w:color w:val="auto"/>
          <w:kern w:val="0"/>
          <w:sz w:val="24"/>
          <w:szCs w:val="24"/>
          <w:highlight w:val="none"/>
        </w:rPr>
      </w:pPr>
      <w:bookmarkStart w:id="122" w:name="_Toc7455"/>
      <w:bookmarkStart w:id="123" w:name="_Toc8224"/>
      <w:r>
        <w:rPr>
          <w:rFonts w:ascii="宋体" w:hAnsi="宋体" w:cs="宋体"/>
          <w:b/>
          <w:bCs/>
          <w:color w:val="auto"/>
          <w:kern w:val="0"/>
          <w:sz w:val="24"/>
          <w:szCs w:val="24"/>
          <w:highlight w:val="none"/>
        </w:rPr>
        <w:t>6.</w:t>
      </w:r>
      <w:r>
        <w:rPr>
          <w:rFonts w:hint="eastAsia" w:ascii="宋体" w:hAnsi="宋体" w:cs="宋体"/>
          <w:b/>
          <w:bCs/>
          <w:color w:val="auto"/>
          <w:kern w:val="0"/>
          <w:sz w:val="24"/>
          <w:szCs w:val="24"/>
          <w:highlight w:val="none"/>
        </w:rPr>
        <w:t>质量保证金</w:t>
      </w:r>
      <w:bookmarkEnd w:id="122"/>
      <w:bookmarkEnd w:id="123"/>
    </w:p>
    <w:p w14:paraId="27A8E395">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6.1</w:t>
      </w:r>
      <w:r>
        <w:rPr>
          <w:rFonts w:hint="eastAsia" w:ascii="宋体" w:hAnsi="宋体" w:cs="宋体"/>
          <w:color w:val="auto"/>
          <w:kern w:val="0"/>
          <w:sz w:val="24"/>
          <w:szCs w:val="24"/>
          <w:highlight w:val="none"/>
        </w:rPr>
        <w:t>扣除合同总价的作为质量保证金。</w:t>
      </w:r>
    </w:p>
    <w:p w14:paraId="7168C231">
      <w:pPr>
        <w:widowControl/>
        <w:snapToGrid w:val="0"/>
        <w:spacing w:line="520" w:lineRule="exact"/>
        <w:ind w:firstLine="480" w:firstLineChars="200"/>
        <w:jc w:val="left"/>
        <w:rPr>
          <w:rFonts w:hint="eastAsia" w:ascii="宋体" w:hAnsi="宋体" w:cs="宋体"/>
          <w:color w:val="auto"/>
          <w:kern w:val="0"/>
          <w:sz w:val="24"/>
          <w:szCs w:val="24"/>
          <w:highlight w:val="none"/>
        </w:rPr>
      </w:pPr>
      <w:r>
        <w:rPr>
          <w:rFonts w:ascii="宋体" w:hAnsi="宋体" w:cs="宋体"/>
          <w:color w:val="auto"/>
          <w:kern w:val="0"/>
          <w:sz w:val="24"/>
          <w:szCs w:val="24"/>
          <w:highlight w:val="none"/>
        </w:rPr>
        <w:t>6.2</w:t>
      </w:r>
      <w:r>
        <w:rPr>
          <w:rFonts w:hint="eastAsia" w:ascii="宋体" w:hAnsi="宋体" w:cs="宋体"/>
          <w:color w:val="auto"/>
          <w:kern w:val="0"/>
          <w:sz w:val="24"/>
          <w:szCs w:val="24"/>
          <w:highlight w:val="none"/>
        </w:rPr>
        <w:t>在质保期内中标供应商提供的货物质量和服务符合合同约定，经验收合格，质保期满后</w:t>
      </w:r>
      <w:r>
        <w:rPr>
          <w:rFonts w:ascii="宋体" w:hAnsi="宋体" w:cs="宋体"/>
          <w:color w:val="auto"/>
          <w:kern w:val="0"/>
          <w:sz w:val="24"/>
          <w:szCs w:val="24"/>
          <w:highlight w:val="none"/>
        </w:rPr>
        <w:t>10</w:t>
      </w:r>
      <w:r>
        <w:rPr>
          <w:rFonts w:hint="eastAsia" w:ascii="宋体" w:hAnsi="宋体" w:cs="宋体"/>
          <w:color w:val="auto"/>
          <w:kern w:val="0"/>
          <w:sz w:val="24"/>
          <w:szCs w:val="24"/>
          <w:highlight w:val="none"/>
        </w:rPr>
        <w:t>个工作日内该款无息退还。</w:t>
      </w:r>
    </w:p>
    <w:p w14:paraId="09C61987">
      <w:pPr>
        <w:widowControl/>
        <w:snapToGrid w:val="0"/>
        <w:spacing w:line="520" w:lineRule="exact"/>
        <w:ind w:firstLine="482" w:firstLineChars="200"/>
        <w:jc w:val="left"/>
        <w:outlineLvl w:val="0"/>
        <w:rPr>
          <w:rFonts w:ascii="宋体"/>
          <w:color w:val="auto"/>
          <w:kern w:val="0"/>
          <w:sz w:val="24"/>
          <w:szCs w:val="24"/>
          <w:highlight w:val="none"/>
        </w:rPr>
      </w:pPr>
      <w:bookmarkStart w:id="124" w:name="_Toc6467"/>
      <w:bookmarkStart w:id="125" w:name="_Toc28373"/>
      <w:r>
        <w:rPr>
          <w:rFonts w:ascii="宋体" w:hAnsi="宋体" w:cs="宋体"/>
          <w:b/>
          <w:bCs/>
          <w:color w:val="auto"/>
          <w:kern w:val="0"/>
          <w:sz w:val="24"/>
          <w:szCs w:val="24"/>
          <w:highlight w:val="none"/>
        </w:rPr>
        <w:t>7.</w:t>
      </w:r>
      <w:r>
        <w:rPr>
          <w:rFonts w:hint="eastAsia" w:ascii="宋体" w:hAnsi="宋体" w:cs="宋体"/>
          <w:b/>
          <w:bCs/>
          <w:color w:val="auto"/>
          <w:kern w:val="0"/>
          <w:sz w:val="24"/>
          <w:szCs w:val="24"/>
          <w:highlight w:val="none"/>
        </w:rPr>
        <w:t>转包或分包</w:t>
      </w:r>
      <w:bookmarkEnd w:id="124"/>
      <w:bookmarkEnd w:id="125"/>
    </w:p>
    <w:p w14:paraId="2E236FAA">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7.1</w:t>
      </w:r>
      <w:r>
        <w:rPr>
          <w:rFonts w:hint="eastAsia" w:ascii="宋体" w:hAnsi="宋体" w:cs="宋体"/>
          <w:color w:val="auto"/>
          <w:kern w:val="0"/>
          <w:sz w:val="24"/>
          <w:szCs w:val="24"/>
          <w:highlight w:val="none"/>
        </w:rPr>
        <w:t>本合同范围的货物，由乙方直接供应，不得转让他人供应。</w:t>
      </w:r>
    </w:p>
    <w:p w14:paraId="3675C92C">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7.2 </w:t>
      </w:r>
      <w:r>
        <w:rPr>
          <w:rFonts w:hint="eastAsia" w:ascii="宋体" w:hAnsi="宋体" w:cs="宋体"/>
          <w:color w:val="auto"/>
          <w:kern w:val="0"/>
          <w:sz w:val="24"/>
          <w:szCs w:val="24"/>
          <w:highlight w:val="none"/>
        </w:rPr>
        <w:t>除非得到甲方的书面同意，乙方不得部分分包给他人供应。</w:t>
      </w:r>
    </w:p>
    <w:p w14:paraId="509CE904">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7.3</w:t>
      </w:r>
      <w:r>
        <w:rPr>
          <w:rFonts w:hint="eastAsia" w:ascii="宋体" w:hAnsi="宋体" w:cs="宋体"/>
          <w:color w:val="auto"/>
          <w:kern w:val="0"/>
          <w:sz w:val="24"/>
          <w:szCs w:val="24"/>
          <w:highlight w:val="none"/>
        </w:rPr>
        <w:t>如有转让和未经甲方同意的分包行为，甲方有权给予终止合同。</w:t>
      </w:r>
    </w:p>
    <w:p w14:paraId="54629B57">
      <w:pPr>
        <w:widowControl/>
        <w:snapToGrid w:val="0"/>
        <w:spacing w:line="520" w:lineRule="exact"/>
        <w:ind w:firstLine="482" w:firstLineChars="200"/>
        <w:jc w:val="left"/>
        <w:outlineLvl w:val="0"/>
        <w:rPr>
          <w:rFonts w:ascii="宋体"/>
          <w:color w:val="auto"/>
          <w:kern w:val="0"/>
          <w:sz w:val="24"/>
          <w:szCs w:val="24"/>
          <w:highlight w:val="none"/>
        </w:rPr>
      </w:pPr>
      <w:bookmarkStart w:id="126" w:name="_Toc13657"/>
      <w:bookmarkStart w:id="127" w:name="_Toc2777"/>
      <w:r>
        <w:rPr>
          <w:rFonts w:ascii="宋体" w:hAnsi="宋体" w:cs="宋体"/>
          <w:b/>
          <w:bCs/>
          <w:color w:val="auto"/>
          <w:kern w:val="0"/>
          <w:sz w:val="24"/>
          <w:szCs w:val="24"/>
          <w:highlight w:val="none"/>
        </w:rPr>
        <w:t>8.</w:t>
      </w:r>
      <w:r>
        <w:rPr>
          <w:rFonts w:hint="eastAsia" w:ascii="宋体" w:hAnsi="宋体" w:cs="宋体"/>
          <w:b/>
          <w:bCs/>
          <w:color w:val="auto"/>
          <w:kern w:val="0"/>
          <w:sz w:val="24"/>
          <w:szCs w:val="24"/>
          <w:highlight w:val="none"/>
          <w:lang w:eastAsia="zh-CN"/>
        </w:rPr>
        <w:t>交货期限</w:t>
      </w:r>
      <w:r>
        <w:rPr>
          <w:rFonts w:hint="eastAsia" w:ascii="宋体" w:hAnsi="宋体" w:cs="宋体"/>
          <w:b/>
          <w:bCs/>
          <w:color w:val="auto"/>
          <w:kern w:val="0"/>
          <w:sz w:val="24"/>
          <w:szCs w:val="24"/>
          <w:highlight w:val="none"/>
        </w:rPr>
        <w:t>、交货方式及交货地点</w:t>
      </w:r>
      <w:bookmarkEnd w:id="126"/>
      <w:bookmarkEnd w:id="127"/>
    </w:p>
    <w:p w14:paraId="3B473C1F">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8.1 </w:t>
      </w:r>
      <w:r>
        <w:rPr>
          <w:rFonts w:hint="eastAsia" w:ascii="宋体" w:hAnsi="宋体" w:cs="宋体"/>
          <w:color w:val="auto"/>
          <w:kern w:val="0"/>
          <w:sz w:val="24"/>
          <w:szCs w:val="24"/>
          <w:highlight w:val="none"/>
          <w:lang w:eastAsia="zh-CN"/>
        </w:rPr>
        <w:t>交货期限</w:t>
      </w:r>
      <w:r>
        <w:rPr>
          <w:rFonts w:hint="eastAsia" w:ascii="宋体" w:hAnsi="宋体" w:cs="宋体"/>
          <w:color w:val="auto"/>
          <w:kern w:val="0"/>
          <w:sz w:val="24"/>
          <w:szCs w:val="24"/>
          <w:highlight w:val="none"/>
        </w:rPr>
        <w:t>：</w:t>
      </w:r>
    </w:p>
    <w:p w14:paraId="62E7D5B2">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8.2 </w:t>
      </w:r>
      <w:r>
        <w:rPr>
          <w:rFonts w:hint="eastAsia" w:ascii="宋体" w:hAnsi="宋体" w:cs="宋体"/>
          <w:color w:val="auto"/>
          <w:kern w:val="0"/>
          <w:sz w:val="24"/>
          <w:szCs w:val="24"/>
          <w:highlight w:val="none"/>
        </w:rPr>
        <w:t>交货方式：</w:t>
      </w:r>
    </w:p>
    <w:p w14:paraId="1B33770D">
      <w:pPr>
        <w:widowControl/>
        <w:tabs>
          <w:tab w:val="left" w:pos="5670"/>
        </w:tabs>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8.3 </w:t>
      </w:r>
      <w:r>
        <w:rPr>
          <w:rFonts w:hint="eastAsia" w:ascii="宋体" w:hAnsi="宋体" w:cs="宋体"/>
          <w:color w:val="auto"/>
          <w:kern w:val="0"/>
          <w:sz w:val="24"/>
          <w:szCs w:val="24"/>
          <w:highlight w:val="none"/>
        </w:rPr>
        <w:t>交货地点：</w:t>
      </w:r>
      <w:r>
        <w:rPr>
          <w:rFonts w:ascii="宋体" w:hAnsi="宋体" w:cs="宋体"/>
          <w:color w:val="auto"/>
          <w:kern w:val="0"/>
          <w:sz w:val="24"/>
          <w:szCs w:val="24"/>
          <w:highlight w:val="none"/>
        </w:rPr>
        <w:tab/>
      </w:r>
    </w:p>
    <w:p w14:paraId="6445BFD8">
      <w:pPr>
        <w:widowControl/>
        <w:snapToGrid w:val="0"/>
        <w:spacing w:line="520" w:lineRule="exact"/>
        <w:ind w:firstLine="482" w:firstLineChars="200"/>
        <w:jc w:val="left"/>
        <w:outlineLvl w:val="0"/>
        <w:rPr>
          <w:rFonts w:ascii="宋体"/>
          <w:color w:val="auto"/>
          <w:kern w:val="0"/>
          <w:sz w:val="24"/>
          <w:szCs w:val="24"/>
          <w:highlight w:val="none"/>
        </w:rPr>
      </w:pPr>
      <w:bookmarkStart w:id="128" w:name="_Toc12503"/>
      <w:bookmarkStart w:id="129" w:name="_Toc18885"/>
      <w:r>
        <w:rPr>
          <w:rFonts w:ascii="宋体" w:hAnsi="宋体" w:cs="宋体"/>
          <w:b/>
          <w:bCs/>
          <w:color w:val="auto"/>
          <w:kern w:val="0"/>
          <w:sz w:val="24"/>
          <w:szCs w:val="24"/>
          <w:highlight w:val="none"/>
        </w:rPr>
        <w:t>9.</w:t>
      </w:r>
      <w:r>
        <w:rPr>
          <w:rFonts w:hint="eastAsia" w:ascii="宋体" w:hAnsi="宋体" w:cs="宋体"/>
          <w:b/>
          <w:bCs/>
          <w:color w:val="auto"/>
          <w:kern w:val="0"/>
          <w:sz w:val="24"/>
          <w:szCs w:val="24"/>
          <w:highlight w:val="none"/>
        </w:rPr>
        <w:t>货款支付：双方协商。</w:t>
      </w:r>
      <w:bookmarkEnd w:id="128"/>
      <w:bookmarkEnd w:id="129"/>
    </w:p>
    <w:p w14:paraId="7ED70C07">
      <w:pPr>
        <w:widowControl/>
        <w:snapToGrid w:val="0"/>
        <w:spacing w:line="520" w:lineRule="exact"/>
        <w:ind w:firstLine="482" w:firstLineChars="200"/>
        <w:jc w:val="left"/>
        <w:outlineLvl w:val="0"/>
        <w:rPr>
          <w:rFonts w:ascii="宋体"/>
          <w:color w:val="auto"/>
          <w:kern w:val="0"/>
          <w:sz w:val="24"/>
          <w:szCs w:val="24"/>
          <w:highlight w:val="none"/>
        </w:rPr>
      </w:pPr>
      <w:bookmarkStart w:id="130" w:name="_Toc22895"/>
      <w:bookmarkStart w:id="131" w:name="_Toc17383"/>
      <w:r>
        <w:rPr>
          <w:rFonts w:ascii="宋体" w:hAnsi="宋体" w:cs="宋体"/>
          <w:b/>
          <w:bCs/>
          <w:color w:val="auto"/>
          <w:kern w:val="0"/>
          <w:sz w:val="24"/>
          <w:szCs w:val="24"/>
          <w:highlight w:val="none"/>
        </w:rPr>
        <w:t>10.</w:t>
      </w:r>
      <w:r>
        <w:rPr>
          <w:rFonts w:hint="eastAsia" w:ascii="宋体" w:hAnsi="宋体" w:cs="宋体"/>
          <w:b/>
          <w:bCs/>
          <w:color w:val="auto"/>
          <w:kern w:val="0"/>
          <w:sz w:val="24"/>
          <w:szCs w:val="24"/>
          <w:highlight w:val="none"/>
        </w:rPr>
        <w:t>税费</w:t>
      </w:r>
      <w:bookmarkEnd w:id="130"/>
      <w:bookmarkEnd w:id="131"/>
    </w:p>
    <w:p w14:paraId="0AB195AC">
      <w:pPr>
        <w:widowControl/>
        <w:snapToGrid w:val="0"/>
        <w:spacing w:line="520" w:lineRule="exact"/>
        <w:ind w:firstLine="480" w:firstLineChars="200"/>
        <w:jc w:val="left"/>
        <w:rPr>
          <w:rFonts w:ascii="宋体"/>
          <w:color w:val="auto"/>
          <w:kern w:val="0"/>
          <w:sz w:val="24"/>
          <w:szCs w:val="24"/>
          <w:highlight w:val="none"/>
        </w:rPr>
      </w:pPr>
      <w:r>
        <w:rPr>
          <w:rFonts w:hint="eastAsia" w:ascii="宋体" w:hAnsi="宋体" w:cs="宋体"/>
          <w:color w:val="auto"/>
          <w:kern w:val="0"/>
          <w:sz w:val="24"/>
          <w:szCs w:val="24"/>
          <w:highlight w:val="none"/>
        </w:rPr>
        <w:t>本合同执行中相关的一切税费均由乙方负担。</w:t>
      </w:r>
    </w:p>
    <w:p w14:paraId="373BDDB3">
      <w:pPr>
        <w:widowControl/>
        <w:snapToGrid w:val="0"/>
        <w:spacing w:line="520" w:lineRule="exact"/>
        <w:ind w:firstLine="482" w:firstLineChars="200"/>
        <w:jc w:val="left"/>
        <w:outlineLvl w:val="0"/>
        <w:rPr>
          <w:rFonts w:ascii="宋体"/>
          <w:color w:val="auto"/>
          <w:kern w:val="0"/>
          <w:sz w:val="24"/>
          <w:szCs w:val="24"/>
          <w:highlight w:val="none"/>
        </w:rPr>
      </w:pPr>
      <w:bookmarkStart w:id="132" w:name="_Toc13796"/>
      <w:bookmarkStart w:id="133" w:name="_Toc6908"/>
      <w:r>
        <w:rPr>
          <w:rFonts w:ascii="宋体" w:hAnsi="宋体" w:cs="宋体"/>
          <w:b/>
          <w:bCs/>
          <w:color w:val="auto"/>
          <w:kern w:val="0"/>
          <w:sz w:val="24"/>
          <w:szCs w:val="24"/>
          <w:highlight w:val="none"/>
        </w:rPr>
        <w:t>11.</w:t>
      </w:r>
      <w:r>
        <w:rPr>
          <w:rFonts w:hint="eastAsia" w:ascii="宋体" w:hAnsi="宋体" w:cs="宋体"/>
          <w:b/>
          <w:bCs/>
          <w:color w:val="auto"/>
          <w:kern w:val="0"/>
          <w:sz w:val="24"/>
          <w:szCs w:val="24"/>
          <w:highlight w:val="none"/>
        </w:rPr>
        <w:t>货物包装、发运及运输</w:t>
      </w:r>
      <w:bookmarkEnd w:id="132"/>
      <w:bookmarkEnd w:id="133"/>
    </w:p>
    <w:p w14:paraId="1526AC44">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11.1 </w:t>
      </w:r>
      <w:r>
        <w:rPr>
          <w:rFonts w:hint="eastAsia" w:ascii="宋体" w:hAnsi="宋体" w:cs="宋体"/>
          <w:color w:val="auto"/>
          <w:kern w:val="0"/>
          <w:sz w:val="24"/>
          <w:szCs w:val="24"/>
          <w:highlight w:val="none"/>
        </w:rPr>
        <w:t>乙方在货物发运前对其进行满足运输距离、防潮、防震、防锈和防破损装卸等要求包装，以保证货物安全运达甲方指定地点。</w:t>
      </w:r>
    </w:p>
    <w:p w14:paraId="3DB13CEE">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11.2 </w:t>
      </w:r>
      <w:r>
        <w:rPr>
          <w:rFonts w:hint="eastAsia" w:ascii="宋体" w:hAnsi="宋体" w:cs="宋体"/>
          <w:color w:val="auto"/>
          <w:kern w:val="0"/>
          <w:sz w:val="24"/>
          <w:szCs w:val="24"/>
          <w:highlight w:val="none"/>
        </w:rPr>
        <w:t>使用说明书、质量检验证明书、随配附件和工具以及清单一并附于货物内。</w:t>
      </w:r>
    </w:p>
    <w:p w14:paraId="0C592618">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11.3 </w:t>
      </w:r>
      <w:r>
        <w:rPr>
          <w:rFonts w:hint="eastAsia" w:ascii="宋体" w:hAnsi="宋体" w:cs="宋体"/>
          <w:color w:val="auto"/>
          <w:kern w:val="0"/>
          <w:sz w:val="24"/>
          <w:szCs w:val="24"/>
          <w:highlight w:val="none"/>
        </w:rPr>
        <w:t>乙方在货物发运手续办理完毕后</w:t>
      </w:r>
      <w:r>
        <w:rPr>
          <w:rFonts w:ascii="宋体" w:hAnsi="宋体" w:cs="宋体"/>
          <w:color w:val="auto"/>
          <w:kern w:val="0"/>
          <w:sz w:val="24"/>
          <w:szCs w:val="24"/>
          <w:highlight w:val="none"/>
        </w:rPr>
        <w:t>24</w:t>
      </w:r>
      <w:r>
        <w:rPr>
          <w:rFonts w:hint="eastAsia" w:ascii="宋体" w:hAnsi="宋体" w:cs="宋体"/>
          <w:color w:val="auto"/>
          <w:kern w:val="0"/>
          <w:sz w:val="24"/>
          <w:szCs w:val="24"/>
          <w:highlight w:val="none"/>
        </w:rPr>
        <w:t>小时内或货到甲方</w:t>
      </w:r>
      <w:r>
        <w:rPr>
          <w:rFonts w:ascii="宋体" w:hAnsi="宋体" w:cs="宋体"/>
          <w:color w:val="auto"/>
          <w:kern w:val="0"/>
          <w:sz w:val="24"/>
          <w:szCs w:val="24"/>
          <w:highlight w:val="none"/>
        </w:rPr>
        <w:t>48</w:t>
      </w:r>
      <w:r>
        <w:rPr>
          <w:rFonts w:hint="eastAsia" w:ascii="宋体" w:hAnsi="宋体" w:cs="宋体"/>
          <w:color w:val="auto"/>
          <w:kern w:val="0"/>
          <w:sz w:val="24"/>
          <w:szCs w:val="24"/>
          <w:highlight w:val="none"/>
        </w:rPr>
        <w:t>小时前通知甲方，以准备接货。</w:t>
      </w:r>
    </w:p>
    <w:p w14:paraId="20A02F5F">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11.4 </w:t>
      </w:r>
      <w:r>
        <w:rPr>
          <w:rFonts w:hint="eastAsia" w:ascii="宋体" w:hAnsi="宋体" w:cs="宋体"/>
          <w:color w:val="auto"/>
          <w:kern w:val="0"/>
          <w:sz w:val="24"/>
          <w:szCs w:val="24"/>
          <w:highlight w:val="none"/>
        </w:rPr>
        <w:t>货物在交付甲方前发生的风险均由乙方负责。</w:t>
      </w:r>
    </w:p>
    <w:p w14:paraId="32DEAAD1">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11.5 </w:t>
      </w:r>
      <w:r>
        <w:rPr>
          <w:rFonts w:hint="eastAsia" w:ascii="宋体" w:hAnsi="宋体" w:cs="宋体"/>
          <w:color w:val="auto"/>
          <w:kern w:val="0"/>
          <w:sz w:val="24"/>
          <w:szCs w:val="24"/>
          <w:highlight w:val="none"/>
        </w:rPr>
        <w:t>货物在规定的交付期限内由乙方送达甲方指定的地点视为交付，乙方同时需通知甲方货物已送达。</w:t>
      </w:r>
    </w:p>
    <w:p w14:paraId="2AA859C1">
      <w:pPr>
        <w:widowControl/>
        <w:snapToGrid w:val="0"/>
        <w:spacing w:line="520" w:lineRule="exact"/>
        <w:ind w:firstLine="482" w:firstLineChars="200"/>
        <w:jc w:val="left"/>
        <w:outlineLvl w:val="0"/>
        <w:rPr>
          <w:rFonts w:ascii="宋体"/>
          <w:color w:val="auto"/>
          <w:kern w:val="0"/>
          <w:sz w:val="24"/>
          <w:szCs w:val="24"/>
          <w:highlight w:val="none"/>
        </w:rPr>
      </w:pPr>
      <w:bookmarkStart w:id="134" w:name="_Toc27642"/>
      <w:bookmarkStart w:id="135" w:name="_Toc16957"/>
      <w:r>
        <w:rPr>
          <w:rFonts w:ascii="宋体" w:hAnsi="宋体" w:cs="宋体"/>
          <w:b/>
          <w:bCs/>
          <w:color w:val="auto"/>
          <w:kern w:val="0"/>
          <w:sz w:val="24"/>
          <w:szCs w:val="24"/>
          <w:highlight w:val="none"/>
        </w:rPr>
        <w:t>12.</w:t>
      </w:r>
      <w:r>
        <w:rPr>
          <w:rFonts w:hint="eastAsia" w:ascii="宋体" w:hAnsi="宋体" w:cs="宋体"/>
          <w:b/>
          <w:bCs/>
          <w:color w:val="auto"/>
          <w:kern w:val="0"/>
          <w:sz w:val="24"/>
          <w:szCs w:val="24"/>
          <w:highlight w:val="none"/>
        </w:rPr>
        <w:t>质量保证及售后服务</w:t>
      </w:r>
      <w:bookmarkEnd w:id="134"/>
      <w:bookmarkEnd w:id="135"/>
    </w:p>
    <w:p w14:paraId="376597E2">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12.1 </w:t>
      </w:r>
      <w:r>
        <w:rPr>
          <w:rFonts w:hint="eastAsia" w:ascii="宋体" w:hAnsi="宋体" w:cs="宋体"/>
          <w:color w:val="auto"/>
          <w:kern w:val="0"/>
          <w:sz w:val="24"/>
          <w:szCs w:val="24"/>
          <w:highlight w:val="none"/>
        </w:rPr>
        <w:t>乙方提供的货物是全新、未使用过的，并完全符合强制性的国家技术质量规范和招标文件规定的质量、规格、性能和技术规范等的要求。</w:t>
      </w:r>
    </w:p>
    <w:p w14:paraId="7EAA1A43">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12.2 </w:t>
      </w:r>
      <w:r>
        <w:rPr>
          <w:rFonts w:hint="eastAsia" w:ascii="宋体" w:hAnsi="宋体" w:cs="宋体"/>
          <w:color w:val="auto"/>
          <w:kern w:val="0"/>
          <w:sz w:val="24"/>
          <w:szCs w:val="24"/>
          <w:highlight w:val="none"/>
        </w:rPr>
        <w:t>乙方提供的货物经正确安装、正常运转和保养，在其使用寿命期内须具有符合质量要求和产品说明书的性能。在货物质量保证期之内，乙方须对由于设计、工艺或材料的缺陷而发生的任何不足或故障负责。</w:t>
      </w:r>
    </w:p>
    <w:p w14:paraId="312FF9DC">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12.3</w:t>
      </w:r>
      <w:r>
        <w:rPr>
          <w:rFonts w:hint="eastAsia" w:ascii="宋体" w:hAnsi="宋体" w:cs="宋体"/>
          <w:color w:val="auto"/>
          <w:kern w:val="0"/>
          <w:sz w:val="24"/>
          <w:szCs w:val="24"/>
          <w:highlight w:val="none"/>
        </w:rPr>
        <w:t>根据甲方按检验标准自己检验结果或委托有资质的相关质检机构的检验结果，发现货物的数量、质量、规格与合同不符；或者在质量保证期内，证实货物存在缺陷，包括潜在的缺陷或使用不符合要求的材料等，甲方应尽快以书面形式通知乙方。乙方在收到通知后</w:t>
      </w:r>
      <w:r>
        <w:rPr>
          <w:rFonts w:ascii="宋体" w:hAnsi="宋体" w:cs="宋体"/>
          <w:color w:val="auto"/>
          <w:kern w:val="0"/>
          <w:sz w:val="24"/>
          <w:szCs w:val="24"/>
          <w:highlight w:val="none"/>
          <w:u w:val="single"/>
        </w:rPr>
        <w:t>7</w:t>
      </w:r>
      <w:r>
        <w:rPr>
          <w:rFonts w:hint="eastAsia" w:ascii="宋体" w:hAnsi="宋体" w:cs="宋体"/>
          <w:color w:val="auto"/>
          <w:kern w:val="0"/>
          <w:sz w:val="24"/>
          <w:szCs w:val="24"/>
          <w:highlight w:val="none"/>
        </w:rPr>
        <w:t>日内应免费维修或更换有缺陷的货物或部件。如果乙方在收到通知后</w:t>
      </w:r>
      <w:r>
        <w:rPr>
          <w:rFonts w:ascii="宋体" w:hAnsi="宋体" w:cs="宋体"/>
          <w:color w:val="auto"/>
          <w:kern w:val="0"/>
          <w:sz w:val="24"/>
          <w:szCs w:val="24"/>
          <w:highlight w:val="none"/>
          <w:u w:val="single"/>
        </w:rPr>
        <w:t>7</w:t>
      </w:r>
      <w:r>
        <w:rPr>
          <w:rFonts w:hint="eastAsia" w:ascii="宋体" w:hAnsi="宋体" w:cs="宋体"/>
          <w:color w:val="auto"/>
          <w:kern w:val="0"/>
          <w:sz w:val="24"/>
          <w:szCs w:val="24"/>
          <w:highlight w:val="none"/>
        </w:rPr>
        <w:t>日内没有弥补缺陷，甲方可采取必要的补救措施，但由此引发的风险和费用将由乙方承担。</w:t>
      </w:r>
    </w:p>
    <w:p w14:paraId="4239BC7A">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12.4</w:t>
      </w:r>
      <w:r>
        <w:rPr>
          <w:rFonts w:hint="eastAsia" w:ascii="宋体" w:hAnsi="宋体" w:cs="宋体"/>
          <w:color w:val="auto"/>
          <w:kern w:val="0"/>
          <w:sz w:val="24"/>
          <w:szCs w:val="24"/>
          <w:highlight w:val="none"/>
        </w:rPr>
        <w:t>合同项下货物的质量保证期为自货物通过最终验收起个月，在质保期内，因人为因素出现故障外，乙方对货物出现的质量及安全问题负责处理解决并承担一切费用。</w:t>
      </w:r>
    </w:p>
    <w:p w14:paraId="4B3ED168">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12.5</w:t>
      </w:r>
      <w:r>
        <w:rPr>
          <w:rFonts w:hint="eastAsia" w:ascii="宋体" w:hAnsi="宋体" w:cs="宋体"/>
          <w:color w:val="auto"/>
          <w:kern w:val="0"/>
          <w:sz w:val="24"/>
          <w:szCs w:val="24"/>
          <w:highlight w:val="none"/>
        </w:rPr>
        <w:t>合同项下货物免费保修期为质量保证期满后个月，因人为因素出现的故障不在免费保修范围内。对超过保修期的货物终生维修，维修时只收部件成本费。</w:t>
      </w:r>
    </w:p>
    <w:p w14:paraId="115DB55D">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12.6</w:t>
      </w:r>
      <w:r>
        <w:rPr>
          <w:rFonts w:hint="eastAsia" w:ascii="宋体" w:hAnsi="宋体" w:cs="宋体"/>
          <w:color w:val="auto"/>
          <w:kern w:val="0"/>
          <w:sz w:val="24"/>
          <w:szCs w:val="24"/>
          <w:highlight w:val="none"/>
        </w:rPr>
        <w:t>在使用过程中发生故障，乙方在接到甲方通知后在小时内到达甲方现场，小时内解除故障。</w:t>
      </w:r>
    </w:p>
    <w:p w14:paraId="1E1FBAE0">
      <w:pPr>
        <w:widowControl/>
        <w:snapToGrid w:val="0"/>
        <w:spacing w:line="520" w:lineRule="exact"/>
        <w:ind w:firstLine="482" w:firstLineChars="200"/>
        <w:jc w:val="left"/>
        <w:outlineLvl w:val="0"/>
        <w:rPr>
          <w:rFonts w:ascii="宋体"/>
          <w:color w:val="auto"/>
          <w:kern w:val="0"/>
          <w:sz w:val="24"/>
          <w:szCs w:val="24"/>
          <w:highlight w:val="none"/>
        </w:rPr>
      </w:pPr>
      <w:bookmarkStart w:id="136" w:name="_Toc4137"/>
      <w:bookmarkStart w:id="137" w:name="_Toc15558"/>
      <w:r>
        <w:rPr>
          <w:rFonts w:ascii="宋体" w:hAnsi="宋体" w:cs="宋体"/>
          <w:b/>
          <w:bCs/>
          <w:color w:val="auto"/>
          <w:kern w:val="0"/>
          <w:sz w:val="24"/>
          <w:szCs w:val="24"/>
          <w:highlight w:val="none"/>
        </w:rPr>
        <w:t>13.</w:t>
      </w:r>
      <w:r>
        <w:rPr>
          <w:rFonts w:hint="eastAsia" w:ascii="宋体" w:hAnsi="宋体" w:cs="宋体"/>
          <w:b/>
          <w:bCs/>
          <w:color w:val="auto"/>
          <w:kern w:val="0"/>
          <w:sz w:val="24"/>
          <w:szCs w:val="24"/>
          <w:highlight w:val="none"/>
        </w:rPr>
        <w:t>调试和验收</w:t>
      </w:r>
      <w:bookmarkEnd w:id="136"/>
      <w:bookmarkEnd w:id="137"/>
    </w:p>
    <w:p w14:paraId="445AAB6F">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13.1</w:t>
      </w:r>
      <w:r>
        <w:rPr>
          <w:rFonts w:hint="eastAsia" w:ascii="宋体" w:hAnsi="宋体" w:cs="宋体"/>
          <w:color w:val="auto"/>
          <w:kern w:val="0"/>
          <w:sz w:val="24"/>
          <w:szCs w:val="24"/>
          <w:highlight w:val="none"/>
        </w:rPr>
        <w:t>乙方交货前对产品作出全面检查和对验收文件进行整理，并列出清单，作为甲方收货验收和使用的技术条件依据，检验的结果应随货物交甲方。</w:t>
      </w:r>
    </w:p>
    <w:p w14:paraId="670AE5F9">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13.2</w:t>
      </w:r>
      <w:r>
        <w:rPr>
          <w:rFonts w:hint="eastAsia" w:ascii="宋体" w:hAnsi="宋体" w:cs="宋体"/>
          <w:color w:val="auto"/>
          <w:kern w:val="0"/>
          <w:sz w:val="24"/>
          <w:szCs w:val="24"/>
          <w:highlight w:val="none"/>
        </w:rPr>
        <w:t>货物运抵现场后，甲方依据招标文件上的技术规格要求和国家有关质量标准在</w:t>
      </w:r>
      <w:r>
        <w:rPr>
          <w:rFonts w:ascii="宋体" w:hAnsi="宋体" w:cs="宋体"/>
          <w:color w:val="auto"/>
          <w:kern w:val="0"/>
          <w:sz w:val="24"/>
          <w:szCs w:val="24"/>
          <w:highlight w:val="none"/>
        </w:rPr>
        <w:t>3</w:t>
      </w:r>
      <w:r>
        <w:rPr>
          <w:rFonts w:hint="eastAsia" w:ascii="宋体" w:hAnsi="宋体" w:cs="宋体"/>
          <w:color w:val="auto"/>
          <w:kern w:val="0"/>
          <w:sz w:val="24"/>
          <w:szCs w:val="24"/>
          <w:highlight w:val="none"/>
        </w:rPr>
        <w:t>个工作日内组织初步验收，并制作验收备忘录，签署验收意见。初步验收不合格的不予签收。</w:t>
      </w:r>
    </w:p>
    <w:p w14:paraId="27501ADC">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13.3 </w:t>
      </w:r>
      <w:r>
        <w:rPr>
          <w:rFonts w:hint="eastAsia" w:ascii="宋体" w:hAnsi="宋体" w:cs="宋体"/>
          <w:color w:val="auto"/>
          <w:kern w:val="0"/>
          <w:sz w:val="24"/>
          <w:szCs w:val="24"/>
          <w:highlight w:val="none"/>
        </w:rPr>
        <w:t>甲方对乙方提供的货物在使用前进行调试时，乙方负责安装并培训甲方的使用操作人员，并协助甲方一起调试，直到符合技术要求，甲方才做最终验收并签署验收意见。</w:t>
      </w:r>
    </w:p>
    <w:p w14:paraId="41620BC0">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13.4 </w:t>
      </w:r>
      <w:r>
        <w:rPr>
          <w:rFonts w:hint="eastAsia" w:ascii="宋体" w:hAnsi="宋体" w:cs="宋体"/>
          <w:color w:val="auto"/>
          <w:kern w:val="0"/>
          <w:sz w:val="24"/>
          <w:szCs w:val="24"/>
          <w:highlight w:val="none"/>
        </w:rPr>
        <w:t>对大型或技术复杂的货物，甲方应邀请国家认可的专业检测机构参与初步验收及最终验收，并由其出具质量检测报告。</w:t>
      </w:r>
    </w:p>
    <w:p w14:paraId="239D2690">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13.5 </w:t>
      </w:r>
      <w:r>
        <w:rPr>
          <w:rFonts w:hint="eastAsia" w:ascii="宋体" w:hAnsi="宋体" w:cs="宋体"/>
          <w:color w:val="auto"/>
          <w:kern w:val="0"/>
          <w:sz w:val="24"/>
          <w:szCs w:val="24"/>
          <w:highlight w:val="none"/>
        </w:rPr>
        <w:t>验收时乙方必须在现场，验收完毕后作出验收结果报告。验收费用由乙方负责。</w:t>
      </w:r>
    </w:p>
    <w:p w14:paraId="04BCEB6F">
      <w:pPr>
        <w:widowControl/>
        <w:snapToGrid w:val="0"/>
        <w:spacing w:line="520" w:lineRule="exact"/>
        <w:ind w:firstLine="479" w:firstLineChars="199"/>
        <w:jc w:val="left"/>
        <w:outlineLvl w:val="0"/>
        <w:rPr>
          <w:rFonts w:ascii="宋体"/>
          <w:color w:val="auto"/>
          <w:kern w:val="0"/>
          <w:sz w:val="24"/>
          <w:szCs w:val="24"/>
          <w:highlight w:val="none"/>
        </w:rPr>
      </w:pPr>
      <w:bookmarkStart w:id="138" w:name="_Toc12523"/>
      <w:bookmarkStart w:id="139" w:name="_Toc16332"/>
      <w:r>
        <w:rPr>
          <w:rFonts w:ascii="宋体" w:hAnsi="宋体" w:cs="宋体"/>
          <w:b/>
          <w:bCs/>
          <w:color w:val="auto"/>
          <w:kern w:val="0"/>
          <w:sz w:val="24"/>
          <w:szCs w:val="24"/>
          <w:highlight w:val="none"/>
        </w:rPr>
        <w:t>14.</w:t>
      </w:r>
      <w:r>
        <w:rPr>
          <w:rFonts w:hint="eastAsia" w:ascii="宋体" w:hAnsi="宋体" w:cs="宋体"/>
          <w:b/>
          <w:bCs/>
          <w:color w:val="auto"/>
          <w:kern w:val="0"/>
          <w:sz w:val="24"/>
          <w:szCs w:val="24"/>
          <w:highlight w:val="none"/>
        </w:rPr>
        <w:t>索赔</w:t>
      </w:r>
      <w:bookmarkEnd w:id="138"/>
      <w:bookmarkEnd w:id="139"/>
    </w:p>
    <w:p w14:paraId="15C7AA27">
      <w:pPr>
        <w:widowControl/>
        <w:snapToGrid w:val="0"/>
        <w:spacing w:line="520" w:lineRule="exact"/>
        <w:ind w:firstLine="360" w:firstLineChars="150"/>
        <w:jc w:val="left"/>
        <w:rPr>
          <w:rFonts w:ascii="宋体"/>
          <w:color w:val="auto"/>
          <w:kern w:val="0"/>
          <w:sz w:val="24"/>
          <w:szCs w:val="24"/>
          <w:highlight w:val="none"/>
        </w:rPr>
      </w:pPr>
      <w:r>
        <w:rPr>
          <w:rFonts w:ascii="宋体" w:hAnsi="宋体" w:cs="宋体"/>
          <w:color w:val="auto"/>
          <w:kern w:val="0"/>
          <w:sz w:val="24"/>
          <w:szCs w:val="24"/>
          <w:highlight w:val="none"/>
        </w:rPr>
        <w:t xml:space="preserve">14.1 </w:t>
      </w:r>
      <w:r>
        <w:rPr>
          <w:rFonts w:hint="eastAsia" w:ascii="宋体" w:hAnsi="宋体" w:cs="宋体"/>
          <w:color w:val="auto"/>
          <w:kern w:val="0"/>
          <w:sz w:val="24"/>
          <w:szCs w:val="24"/>
          <w:highlight w:val="none"/>
        </w:rPr>
        <w:t>如果货物的质量、规格、数量等与合同不符，或在质量保证期内证实货物存有缺陷，包括潜在的缺陷或使用不符合要求的材料等，甲方有权根据有资质的权威质检机构的检验结果向乙方提出索赔</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但责任应由保险公司或运输部门承担的除外</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w:t>
      </w:r>
    </w:p>
    <w:p w14:paraId="65674826">
      <w:pPr>
        <w:widowControl/>
        <w:snapToGrid w:val="0"/>
        <w:spacing w:line="520" w:lineRule="exact"/>
        <w:ind w:firstLine="360" w:firstLineChars="150"/>
        <w:jc w:val="left"/>
        <w:rPr>
          <w:rFonts w:ascii="宋体"/>
          <w:color w:val="auto"/>
          <w:kern w:val="0"/>
          <w:sz w:val="24"/>
          <w:szCs w:val="24"/>
          <w:highlight w:val="none"/>
        </w:rPr>
      </w:pPr>
      <w:r>
        <w:rPr>
          <w:rFonts w:ascii="宋体" w:hAnsi="宋体" w:cs="宋体"/>
          <w:color w:val="auto"/>
          <w:kern w:val="0"/>
          <w:sz w:val="24"/>
          <w:szCs w:val="24"/>
          <w:highlight w:val="none"/>
        </w:rPr>
        <w:t xml:space="preserve">14.2 </w:t>
      </w:r>
      <w:r>
        <w:rPr>
          <w:rFonts w:hint="eastAsia" w:ascii="宋体" w:hAnsi="宋体" w:cs="宋体"/>
          <w:color w:val="auto"/>
          <w:kern w:val="0"/>
          <w:sz w:val="24"/>
          <w:szCs w:val="24"/>
          <w:highlight w:val="none"/>
        </w:rPr>
        <w:t>在根据合同第</w:t>
      </w:r>
      <w:r>
        <w:rPr>
          <w:rFonts w:ascii="宋体" w:hAnsi="宋体" w:cs="宋体"/>
          <w:color w:val="auto"/>
          <w:kern w:val="0"/>
          <w:sz w:val="24"/>
          <w:szCs w:val="24"/>
          <w:highlight w:val="none"/>
        </w:rPr>
        <w:t>12</w:t>
      </w:r>
      <w:r>
        <w:rPr>
          <w:rFonts w:hint="eastAsia" w:ascii="宋体" w:hAnsi="宋体" w:cs="宋体"/>
          <w:color w:val="auto"/>
          <w:kern w:val="0"/>
          <w:sz w:val="24"/>
          <w:szCs w:val="24"/>
          <w:highlight w:val="none"/>
        </w:rPr>
        <w:t>条和第</w:t>
      </w:r>
      <w:r>
        <w:rPr>
          <w:rFonts w:ascii="宋体" w:hAnsi="宋体" w:cs="宋体"/>
          <w:color w:val="auto"/>
          <w:kern w:val="0"/>
          <w:sz w:val="24"/>
          <w:szCs w:val="24"/>
          <w:highlight w:val="none"/>
        </w:rPr>
        <w:t>13</w:t>
      </w:r>
      <w:r>
        <w:rPr>
          <w:rFonts w:hint="eastAsia" w:ascii="宋体" w:hAnsi="宋体" w:cs="宋体"/>
          <w:color w:val="auto"/>
          <w:kern w:val="0"/>
          <w:sz w:val="24"/>
          <w:szCs w:val="24"/>
          <w:highlight w:val="none"/>
        </w:rPr>
        <w:t>条规定的检验期和质量保证期内，如果乙方对甲方提出的索赔负有责任，乙方应按照甲方同意的下列一种或多种方式解决索赔事宜：</w:t>
      </w:r>
    </w:p>
    <w:p w14:paraId="4842CFBD">
      <w:pPr>
        <w:widowControl/>
        <w:snapToGrid w:val="0"/>
        <w:spacing w:line="520" w:lineRule="exact"/>
        <w:ind w:firstLine="360" w:firstLineChars="150"/>
        <w:jc w:val="left"/>
        <w:rPr>
          <w:rFonts w:ascii="宋体"/>
          <w:color w:val="auto"/>
          <w:kern w:val="0"/>
          <w:sz w:val="24"/>
          <w:szCs w:val="24"/>
          <w:highlight w:val="none"/>
        </w:rPr>
      </w:pPr>
      <w:r>
        <w:rPr>
          <w:rFonts w:ascii="宋体" w:hAnsi="宋体" w:cs="宋体"/>
          <w:color w:val="auto"/>
          <w:kern w:val="0"/>
          <w:sz w:val="24"/>
          <w:szCs w:val="24"/>
          <w:highlight w:val="none"/>
        </w:rPr>
        <w:t xml:space="preserve">14.2.1 </w:t>
      </w:r>
      <w:r>
        <w:rPr>
          <w:rFonts w:hint="eastAsia" w:ascii="宋体" w:hAnsi="宋体" w:cs="宋体"/>
          <w:color w:val="auto"/>
          <w:kern w:val="0"/>
          <w:sz w:val="24"/>
          <w:szCs w:val="24"/>
          <w:highlight w:val="none"/>
        </w:rPr>
        <w:t>在法定的退货期内，甲方将货物款退还给乙方，乙方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14:paraId="0C162075">
      <w:pPr>
        <w:widowControl/>
        <w:snapToGrid w:val="0"/>
        <w:spacing w:line="520" w:lineRule="exact"/>
        <w:ind w:firstLine="360" w:firstLineChars="150"/>
        <w:jc w:val="left"/>
        <w:rPr>
          <w:rFonts w:ascii="宋体"/>
          <w:color w:val="auto"/>
          <w:kern w:val="0"/>
          <w:sz w:val="24"/>
          <w:szCs w:val="24"/>
          <w:highlight w:val="none"/>
        </w:rPr>
      </w:pPr>
      <w:r>
        <w:rPr>
          <w:rFonts w:ascii="宋体" w:hAnsi="宋体" w:cs="宋体"/>
          <w:color w:val="auto"/>
          <w:kern w:val="0"/>
          <w:sz w:val="24"/>
          <w:szCs w:val="24"/>
          <w:highlight w:val="none"/>
        </w:rPr>
        <w:t xml:space="preserve">14.2.2 </w:t>
      </w:r>
      <w:r>
        <w:rPr>
          <w:rFonts w:hint="eastAsia" w:ascii="宋体" w:hAnsi="宋体" w:cs="宋体"/>
          <w:color w:val="auto"/>
          <w:kern w:val="0"/>
          <w:sz w:val="24"/>
          <w:szCs w:val="24"/>
          <w:highlight w:val="none"/>
        </w:rPr>
        <w:t>根据货物低劣程度、损坏程度以及甲方所遭受损失的数额，经双方商定降低货物的价格，或由有权的部门评估，以降低后的价格或评估价格为准。</w:t>
      </w:r>
    </w:p>
    <w:p w14:paraId="100E119F">
      <w:pPr>
        <w:widowControl/>
        <w:snapToGrid w:val="0"/>
        <w:spacing w:line="520" w:lineRule="exact"/>
        <w:ind w:firstLine="360" w:firstLineChars="150"/>
        <w:jc w:val="left"/>
        <w:rPr>
          <w:rFonts w:ascii="宋体"/>
          <w:color w:val="auto"/>
          <w:kern w:val="0"/>
          <w:sz w:val="24"/>
          <w:szCs w:val="24"/>
          <w:highlight w:val="none"/>
        </w:rPr>
      </w:pPr>
      <w:r>
        <w:rPr>
          <w:rFonts w:ascii="宋体" w:hAnsi="宋体" w:cs="宋体"/>
          <w:color w:val="auto"/>
          <w:kern w:val="0"/>
          <w:sz w:val="24"/>
          <w:szCs w:val="24"/>
          <w:highlight w:val="none"/>
        </w:rPr>
        <w:t xml:space="preserve">14.2.3 </w:t>
      </w:r>
      <w:r>
        <w:rPr>
          <w:rFonts w:hint="eastAsia" w:ascii="宋体" w:hAnsi="宋体" w:cs="宋体"/>
          <w:color w:val="auto"/>
          <w:kern w:val="0"/>
          <w:sz w:val="24"/>
          <w:szCs w:val="24"/>
          <w:highlight w:val="none"/>
        </w:rPr>
        <w:t>用符合规格、质量和性能要求的新零件、部件或货物来更换有缺陷的部分或</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和修补缺陷部分，乙方承担一切费用和风险并负担甲方所发生的一切直接费用。同时，乙方方应按合同第</w:t>
      </w:r>
      <w:r>
        <w:rPr>
          <w:rFonts w:ascii="宋体" w:hAnsi="宋体" w:cs="宋体"/>
          <w:color w:val="auto"/>
          <w:kern w:val="0"/>
          <w:sz w:val="24"/>
          <w:szCs w:val="24"/>
          <w:highlight w:val="none"/>
        </w:rPr>
        <w:t>12</w:t>
      </w:r>
      <w:r>
        <w:rPr>
          <w:rFonts w:hint="eastAsia" w:ascii="宋体" w:hAnsi="宋体" w:cs="宋体"/>
          <w:color w:val="auto"/>
          <w:kern w:val="0"/>
          <w:sz w:val="24"/>
          <w:szCs w:val="24"/>
          <w:highlight w:val="none"/>
        </w:rPr>
        <w:t>条规定，相应延长修补或更换件的质量保证期。</w:t>
      </w:r>
    </w:p>
    <w:p w14:paraId="196337AA">
      <w:pPr>
        <w:widowControl/>
        <w:snapToGrid w:val="0"/>
        <w:spacing w:line="520" w:lineRule="exact"/>
        <w:ind w:firstLine="360" w:firstLineChars="150"/>
        <w:jc w:val="left"/>
        <w:rPr>
          <w:rFonts w:ascii="宋体"/>
          <w:color w:val="auto"/>
          <w:kern w:val="0"/>
          <w:sz w:val="24"/>
          <w:szCs w:val="24"/>
          <w:highlight w:val="none"/>
        </w:rPr>
      </w:pPr>
      <w:r>
        <w:rPr>
          <w:rFonts w:ascii="宋体" w:hAnsi="宋体" w:cs="宋体"/>
          <w:color w:val="auto"/>
          <w:kern w:val="0"/>
          <w:sz w:val="24"/>
          <w:szCs w:val="24"/>
          <w:highlight w:val="none"/>
        </w:rPr>
        <w:t xml:space="preserve">14.2.4 </w:t>
      </w:r>
      <w:r>
        <w:rPr>
          <w:rFonts w:hint="eastAsia" w:ascii="宋体" w:hAnsi="宋体" w:cs="宋体"/>
          <w:color w:val="auto"/>
          <w:kern w:val="0"/>
          <w:sz w:val="24"/>
          <w:szCs w:val="24"/>
          <w:highlight w:val="none"/>
        </w:rPr>
        <w:t>如果在甲方发出索赔通知后日内，乙方未作答复，上述索赔应视为已被乙方接受。如乙方未能在甲方提出索赔通知后日内或买方同意的更长时间内，按照本合同第</w:t>
      </w:r>
      <w:r>
        <w:rPr>
          <w:rFonts w:ascii="宋体" w:hAnsi="宋体" w:cs="宋体"/>
          <w:color w:val="auto"/>
          <w:kern w:val="0"/>
          <w:sz w:val="24"/>
          <w:szCs w:val="24"/>
          <w:highlight w:val="none"/>
        </w:rPr>
        <w:t>14.2</w:t>
      </w:r>
      <w:r>
        <w:rPr>
          <w:rFonts w:hint="eastAsia" w:ascii="宋体" w:hAnsi="宋体" w:cs="宋体"/>
          <w:color w:val="auto"/>
          <w:kern w:val="0"/>
          <w:sz w:val="24"/>
          <w:szCs w:val="24"/>
          <w:highlight w:val="none"/>
        </w:rPr>
        <w:t>条规定的任何一种方法解决索赔事宜，甲方将从合同款中扣回索赔金额。如果这些金额不足以补偿索赔金额，甲方有权向乙方提出不足部分的补偿。</w:t>
      </w:r>
    </w:p>
    <w:p w14:paraId="15F90B69">
      <w:pPr>
        <w:widowControl/>
        <w:snapToGrid w:val="0"/>
        <w:spacing w:line="520" w:lineRule="exact"/>
        <w:ind w:firstLine="482" w:firstLineChars="200"/>
        <w:jc w:val="left"/>
        <w:outlineLvl w:val="0"/>
        <w:rPr>
          <w:rFonts w:ascii="宋体"/>
          <w:color w:val="auto"/>
          <w:kern w:val="0"/>
          <w:sz w:val="24"/>
          <w:szCs w:val="24"/>
          <w:highlight w:val="none"/>
        </w:rPr>
      </w:pPr>
      <w:bookmarkStart w:id="140" w:name="_Toc8650"/>
      <w:bookmarkStart w:id="141" w:name="_Toc30564"/>
      <w:r>
        <w:rPr>
          <w:rFonts w:ascii="宋体" w:hAnsi="宋体" w:cs="宋体"/>
          <w:b/>
          <w:bCs/>
          <w:color w:val="auto"/>
          <w:kern w:val="0"/>
          <w:sz w:val="24"/>
          <w:szCs w:val="24"/>
          <w:highlight w:val="none"/>
        </w:rPr>
        <w:t>15.</w:t>
      </w:r>
      <w:r>
        <w:rPr>
          <w:rFonts w:hint="eastAsia" w:ascii="宋体" w:hAnsi="宋体" w:cs="宋体"/>
          <w:b/>
          <w:bCs/>
          <w:color w:val="auto"/>
          <w:kern w:val="0"/>
          <w:sz w:val="24"/>
          <w:szCs w:val="24"/>
          <w:highlight w:val="none"/>
        </w:rPr>
        <w:t>违约责任</w:t>
      </w:r>
      <w:bookmarkEnd w:id="140"/>
      <w:bookmarkEnd w:id="141"/>
    </w:p>
    <w:p w14:paraId="4861A949">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15.1 </w:t>
      </w:r>
      <w:r>
        <w:rPr>
          <w:rFonts w:hint="eastAsia" w:ascii="宋体" w:hAnsi="宋体" w:cs="宋体"/>
          <w:color w:val="auto"/>
          <w:kern w:val="0"/>
          <w:sz w:val="24"/>
          <w:szCs w:val="24"/>
          <w:highlight w:val="none"/>
        </w:rPr>
        <w:t>甲方无正当理由拒收货物的，甲方向乙方偿付拒收货款总值的百分之五违约金。</w:t>
      </w:r>
    </w:p>
    <w:p w14:paraId="5BB7481F">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15.2 </w:t>
      </w:r>
      <w:r>
        <w:rPr>
          <w:rFonts w:hint="eastAsia" w:ascii="宋体" w:hAnsi="宋体" w:cs="宋体"/>
          <w:color w:val="auto"/>
          <w:kern w:val="0"/>
          <w:sz w:val="24"/>
          <w:szCs w:val="24"/>
          <w:highlight w:val="none"/>
        </w:rPr>
        <w:t>甲方无故逾期验收和办理货款支付手续的</w:t>
      </w:r>
      <w:r>
        <w:rPr>
          <w:rFonts w:ascii="宋体" w:cs="宋体"/>
          <w:color w:val="auto"/>
          <w:kern w:val="0"/>
          <w:sz w:val="24"/>
          <w:szCs w:val="24"/>
          <w:highlight w:val="none"/>
        </w:rPr>
        <w:t>,</w:t>
      </w:r>
      <w:r>
        <w:rPr>
          <w:rFonts w:hint="eastAsia" w:ascii="宋体" w:hAnsi="宋体" w:cs="宋体"/>
          <w:color w:val="auto"/>
          <w:kern w:val="0"/>
          <w:sz w:val="24"/>
          <w:szCs w:val="24"/>
          <w:highlight w:val="none"/>
        </w:rPr>
        <w:t>甲方按逾期付款总额每日万分之五向乙方支付违约金。</w:t>
      </w:r>
    </w:p>
    <w:p w14:paraId="68F7D84C">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15.3 </w:t>
      </w:r>
      <w:r>
        <w:rPr>
          <w:rFonts w:hint="eastAsia" w:ascii="宋体" w:hAnsi="宋体" w:cs="宋体"/>
          <w:color w:val="auto"/>
          <w:kern w:val="0"/>
          <w:sz w:val="24"/>
          <w:szCs w:val="24"/>
          <w:highlight w:val="none"/>
        </w:rPr>
        <w:t>乙方逾期交付货物的，乙方按逾期交货总额每日万分之五向甲方支付违约金。逾期超过约定日期</w:t>
      </w:r>
      <w:r>
        <w:rPr>
          <w:rFonts w:ascii="宋体" w:hAnsi="宋体" w:cs="宋体"/>
          <w:color w:val="auto"/>
          <w:kern w:val="0"/>
          <w:sz w:val="24"/>
          <w:szCs w:val="24"/>
          <w:highlight w:val="none"/>
        </w:rPr>
        <w:t>10</w:t>
      </w:r>
      <w:r>
        <w:rPr>
          <w:rFonts w:hint="eastAsia" w:ascii="宋体" w:hAnsi="宋体" w:cs="宋体"/>
          <w:color w:val="auto"/>
          <w:kern w:val="0"/>
          <w:sz w:val="24"/>
          <w:szCs w:val="24"/>
          <w:highlight w:val="none"/>
        </w:rPr>
        <w:t>个日历天内不能交货的，甲方有权选择同意延长交货期或解除本合同。甲方同意延长交货期的，延期交货的时间由双方别行确定。乙方仍按上述规定向甲方支付延期交货违约金。违约金由甲方从待付货款中扣除。乙方因逾期交货或因其他违约行为导致甲方解除合同的，乙方向甲方支付合同总值</w:t>
      </w:r>
      <w:r>
        <w:rPr>
          <w:rFonts w:ascii="宋体" w:hAnsi="宋体" w:cs="宋体"/>
          <w:color w:val="auto"/>
          <w:kern w:val="0"/>
          <w:sz w:val="24"/>
          <w:szCs w:val="24"/>
          <w:highlight w:val="none"/>
        </w:rPr>
        <w:t>5%</w:t>
      </w:r>
      <w:r>
        <w:rPr>
          <w:rFonts w:hint="eastAsia" w:ascii="宋体" w:hAnsi="宋体" w:cs="宋体"/>
          <w:color w:val="auto"/>
          <w:kern w:val="0"/>
          <w:sz w:val="24"/>
          <w:szCs w:val="24"/>
          <w:highlight w:val="none"/>
        </w:rPr>
        <w:t>的违约金，如造成甲方损失超过违约金的，超出部分由乙方继续承担赔偿责任。</w:t>
      </w:r>
    </w:p>
    <w:p w14:paraId="152E4B03">
      <w:pPr>
        <w:widowControl/>
        <w:snapToGrid w:val="0"/>
        <w:spacing w:line="520" w:lineRule="exact"/>
        <w:ind w:firstLine="482" w:firstLineChars="200"/>
        <w:jc w:val="left"/>
        <w:outlineLvl w:val="0"/>
        <w:rPr>
          <w:rFonts w:ascii="宋体"/>
          <w:color w:val="auto"/>
          <w:kern w:val="0"/>
          <w:sz w:val="24"/>
          <w:szCs w:val="24"/>
          <w:highlight w:val="none"/>
        </w:rPr>
      </w:pPr>
      <w:bookmarkStart w:id="142" w:name="_Toc1286"/>
      <w:bookmarkStart w:id="143" w:name="_Toc9334"/>
      <w:r>
        <w:rPr>
          <w:rFonts w:ascii="宋体" w:hAnsi="宋体" w:cs="宋体"/>
          <w:b/>
          <w:bCs/>
          <w:color w:val="auto"/>
          <w:kern w:val="0"/>
          <w:sz w:val="24"/>
          <w:szCs w:val="24"/>
          <w:highlight w:val="none"/>
        </w:rPr>
        <w:t>16.</w:t>
      </w:r>
      <w:r>
        <w:rPr>
          <w:rFonts w:hint="eastAsia" w:ascii="宋体" w:hAnsi="宋体" w:cs="宋体"/>
          <w:b/>
          <w:bCs/>
          <w:color w:val="auto"/>
          <w:kern w:val="0"/>
          <w:sz w:val="24"/>
          <w:szCs w:val="24"/>
          <w:highlight w:val="none"/>
        </w:rPr>
        <w:t>不可抗力事件处理</w:t>
      </w:r>
      <w:bookmarkEnd w:id="142"/>
      <w:bookmarkEnd w:id="143"/>
    </w:p>
    <w:p w14:paraId="6A4AB07E">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16.1</w:t>
      </w:r>
      <w:r>
        <w:rPr>
          <w:rFonts w:hint="eastAsia" w:ascii="宋体" w:hAnsi="宋体" w:cs="宋体"/>
          <w:color w:val="auto"/>
          <w:kern w:val="0"/>
          <w:sz w:val="24"/>
          <w:szCs w:val="24"/>
          <w:highlight w:val="none"/>
        </w:rPr>
        <w:t>因不可抗力造成违约的，遭受不可抗力一方应及时向对方通报不能履行或不能完全履行的理由，并在随后取得有关权威机构出具的证明后的</w:t>
      </w:r>
      <w:r>
        <w:rPr>
          <w:rFonts w:ascii="宋体" w:hAnsi="宋体" w:cs="宋体"/>
          <w:color w:val="auto"/>
          <w:kern w:val="0"/>
          <w:sz w:val="24"/>
          <w:szCs w:val="24"/>
          <w:highlight w:val="none"/>
        </w:rPr>
        <w:t>15</w:t>
      </w:r>
      <w:r>
        <w:rPr>
          <w:rFonts w:hint="eastAsia" w:ascii="宋体" w:hAnsi="宋体" w:cs="宋体"/>
          <w:color w:val="auto"/>
          <w:kern w:val="0"/>
          <w:sz w:val="24"/>
          <w:szCs w:val="24"/>
          <w:highlight w:val="none"/>
        </w:rPr>
        <w:t>日内向另一方提供不可抗力发生以及持续期间的充分证据。基本于以上行为，允许遭受不可抗力一方延期履行、部分履行或者不履行合同，并根据情况可部分或全部免于承担违约责任。</w:t>
      </w:r>
    </w:p>
    <w:p w14:paraId="38E2A022">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16.2 </w:t>
      </w:r>
      <w:r>
        <w:rPr>
          <w:rFonts w:hint="eastAsia" w:ascii="宋体" w:hAnsi="宋体" w:cs="宋体"/>
          <w:color w:val="auto"/>
          <w:kern w:val="0"/>
          <w:sz w:val="24"/>
          <w:szCs w:val="24"/>
          <w:highlight w:val="none"/>
        </w:rPr>
        <w:t>本合同中的不可抗力指不能预见、不能避免并不能克服的客观情况。包括但不限于：自然灾害如地震、台风、洪水、火灾；政府行为、法律规定或其适用的变化或者其他任何无法预见、避免或者控制的事件。</w:t>
      </w:r>
    </w:p>
    <w:p w14:paraId="04820ADD">
      <w:pPr>
        <w:widowControl/>
        <w:snapToGrid w:val="0"/>
        <w:spacing w:line="520" w:lineRule="exact"/>
        <w:ind w:firstLine="482" w:firstLineChars="200"/>
        <w:jc w:val="left"/>
        <w:outlineLvl w:val="0"/>
        <w:rPr>
          <w:rFonts w:ascii="宋体"/>
          <w:color w:val="auto"/>
          <w:kern w:val="0"/>
          <w:sz w:val="24"/>
          <w:szCs w:val="24"/>
          <w:highlight w:val="none"/>
        </w:rPr>
      </w:pPr>
      <w:bookmarkStart w:id="144" w:name="_Toc9485"/>
      <w:bookmarkStart w:id="145" w:name="_Toc26379"/>
      <w:r>
        <w:rPr>
          <w:rFonts w:ascii="宋体" w:hAnsi="宋体" w:cs="宋体"/>
          <w:b/>
          <w:bCs/>
          <w:color w:val="auto"/>
          <w:kern w:val="0"/>
          <w:sz w:val="24"/>
          <w:szCs w:val="24"/>
          <w:highlight w:val="none"/>
        </w:rPr>
        <w:t>17.</w:t>
      </w:r>
      <w:r>
        <w:rPr>
          <w:rFonts w:hint="eastAsia" w:ascii="宋体" w:hAnsi="宋体" w:cs="宋体"/>
          <w:b/>
          <w:bCs/>
          <w:color w:val="auto"/>
          <w:kern w:val="0"/>
          <w:sz w:val="24"/>
          <w:szCs w:val="24"/>
          <w:highlight w:val="none"/>
        </w:rPr>
        <w:t>合同纠纷处理</w:t>
      </w:r>
      <w:bookmarkEnd w:id="144"/>
      <w:bookmarkEnd w:id="145"/>
    </w:p>
    <w:p w14:paraId="3473956C">
      <w:pPr>
        <w:widowControl/>
        <w:snapToGrid w:val="0"/>
        <w:spacing w:line="520" w:lineRule="exact"/>
        <w:ind w:firstLine="480" w:firstLineChars="200"/>
        <w:jc w:val="left"/>
        <w:rPr>
          <w:rFonts w:ascii="宋体"/>
          <w:color w:val="auto"/>
          <w:kern w:val="0"/>
          <w:sz w:val="24"/>
          <w:szCs w:val="24"/>
          <w:highlight w:val="none"/>
        </w:rPr>
      </w:pPr>
      <w:r>
        <w:rPr>
          <w:rFonts w:hint="eastAsia" w:ascii="宋体" w:hAnsi="宋体" w:cs="宋体"/>
          <w:color w:val="auto"/>
          <w:kern w:val="0"/>
          <w:sz w:val="24"/>
          <w:szCs w:val="24"/>
          <w:highlight w:val="none"/>
        </w:rPr>
        <w:t>因本合同或与本合同有关的一切事项发生争议，由双方友好协商解决。协商不成的，任何一方均可选择以下方式解决：</w:t>
      </w:r>
    </w:p>
    <w:p w14:paraId="30DAFF9D">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17.1 </w:t>
      </w:r>
      <w:r>
        <w:rPr>
          <w:rFonts w:hint="eastAsia" w:ascii="宋体" w:hAnsi="宋体" w:cs="宋体"/>
          <w:color w:val="auto"/>
          <w:kern w:val="0"/>
          <w:sz w:val="24"/>
          <w:szCs w:val="24"/>
          <w:highlight w:val="none"/>
        </w:rPr>
        <w:t>向合同签订地人民法院提起诉讼。</w:t>
      </w:r>
    </w:p>
    <w:p w14:paraId="171AD7A0">
      <w:pPr>
        <w:widowControl/>
        <w:snapToGrid w:val="0"/>
        <w:spacing w:line="520" w:lineRule="exact"/>
        <w:ind w:firstLine="479" w:firstLineChars="199"/>
        <w:jc w:val="left"/>
        <w:outlineLvl w:val="0"/>
        <w:rPr>
          <w:rFonts w:ascii="宋体"/>
          <w:color w:val="auto"/>
          <w:kern w:val="0"/>
          <w:sz w:val="24"/>
          <w:szCs w:val="24"/>
          <w:highlight w:val="none"/>
        </w:rPr>
      </w:pPr>
      <w:bookmarkStart w:id="146" w:name="_Toc12330"/>
      <w:bookmarkStart w:id="147" w:name="_Toc26540"/>
      <w:r>
        <w:rPr>
          <w:rFonts w:ascii="宋体" w:hAnsi="宋体" w:cs="宋体"/>
          <w:b/>
          <w:bCs/>
          <w:color w:val="auto"/>
          <w:kern w:val="0"/>
          <w:sz w:val="24"/>
          <w:szCs w:val="24"/>
          <w:highlight w:val="none"/>
        </w:rPr>
        <w:t>18.</w:t>
      </w:r>
      <w:r>
        <w:rPr>
          <w:rFonts w:hint="eastAsia" w:ascii="宋体" w:hAnsi="宋体" w:cs="宋体"/>
          <w:b/>
          <w:bCs/>
          <w:color w:val="auto"/>
          <w:kern w:val="0"/>
          <w:sz w:val="24"/>
          <w:szCs w:val="24"/>
          <w:highlight w:val="none"/>
        </w:rPr>
        <w:t>违约解除合同</w:t>
      </w:r>
      <w:bookmarkEnd w:id="146"/>
      <w:bookmarkEnd w:id="147"/>
    </w:p>
    <w:p w14:paraId="59A54BC9">
      <w:pPr>
        <w:widowControl/>
        <w:snapToGrid w:val="0"/>
        <w:spacing w:line="520" w:lineRule="exact"/>
        <w:ind w:firstLine="360" w:firstLineChars="150"/>
        <w:jc w:val="left"/>
        <w:rPr>
          <w:rFonts w:ascii="宋体"/>
          <w:color w:val="auto"/>
          <w:kern w:val="0"/>
          <w:sz w:val="24"/>
          <w:szCs w:val="24"/>
          <w:highlight w:val="none"/>
        </w:rPr>
      </w:pPr>
      <w:r>
        <w:rPr>
          <w:rFonts w:ascii="宋体" w:hAnsi="宋体" w:cs="宋体"/>
          <w:color w:val="auto"/>
          <w:kern w:val="0"/>
          <w:sz w:val="24"/>
          <w:szCs w:val="24"/>
          <w:highlight w:val="none"/>
        </w:rPr>
        <w:t xml:space="preserve"> 18.1</w:t>
      </w:r>
      <w:r>
        <w:rPr>
          <w:rFonts w:hint="eastAsia" w:ascii="宋体" w:hAnsi="宋体" w:cs="宋体"/>
          <w:color w:val="auto"/>
          <w:kern w:val="0"/>
          <w:sz w:val="24"/>
          <w:szCs w:val="24"/>
          <w:highlight w:val="none"/>
        </w:rPr>
        <w:t>在乙方违约的情况下，甲方可向乙方发出书面通知，部分或全部终止合同，同时保留向对方追诉的权利。</w:t>
      </w:r>
    </w:p>
    <w:p w14:paraId="41584413">
      <w:pPr>
        <w:widowControl/>
        <w:snapToGrid w:val="0"/>
        <w:spacing w:line="520" w:lineRule="exact"/>
        <w:ind w:firstLine="360" w:firstLineChars="150"/>
        <w:jc w:val="left"/>
        <w:rPr>
          <w:rFonts w:ascii="宋体"/>
          <w:color w:val="auto"/>
          <w:kern w:val="0"/>
          <w:sz w:val="24"/>
          <w:szCs w:val="24"/>
          <w:highlight w:val="none"/>
        </w:rPr>
      </w:pPr>
      <w:r>
        <w:rPr>
          <w:rFonts w:ascii="宋体" w:hAnsi="宋体" w:cs="宋体"/>
          <w:color w:val="auto"/>
          <w:kern w:val="0"/>
          <w:sz w:val="24"/>
          <w:szCs w:val="24"/>
          <w:highlight w:val="none"/>
        </w:rPr>
        <w:t xml:space="preserve"> 18.1.1 </w:t>
      </w:r>
      <w:r>
        <w:rPr>
          <w:rFonts w:hint="eastAsia" w:ascii="宋体" w:hAnsi="宋体" w:cs="宋体"/>
          <w:color w:val="auto"/>
          <w:kern w:val="0"/>
          <w:sz w:val="24"/>
          <w:szCs w:val="24"/>
          <w:highlight w:val="none"/>
        </w:rPr>
        <w:t>乙方未能在合同规定的限期或甲方同意延长的限期内提供全部或部分货物，按合同第</w:t>
      </w:r>
      <w:r>
        <w:rPr>
          <w:rFonts w:ascii="宋体" w:hAnsi="宋体" w:cs="宋体"/>
          <w:color w:val="auto"/>
          <w:kern w:val="0"/>
          <w:sz w:val="24"/>
          <w:szCs w:val="24"/>
          <w:highlight w:val="none"/>
        </w:rPr>
        <w:t>15.3</w:t>
      </w:r>
      <w:r>
        <w:rPr>
          <w:rFonts w:hint="eastAsia" w:ascii="宋体" w:hAnsi="宋体" w:cs="宋体"/>
          <w:color w:val="auto"/>
          <w:kern w:val="0"/>
          <w:sz w:val="24"/>
          <w:szCs w:val="24"/>
          <w:highlight w:val="none"/>
        </w:rPr>
        <w:t>的规定可以解除合同的。</w:t>
      </w:r>
    </w:p>
    <w:p w14:paraId="5B72A1E7">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18.1.2 </w:t>
      </w:r>
      <w:r>
        <w:rPr>
          <w:rFonts w:hint="eastAsia" w:ascii="宋体" w:hAnsi="宋体" w:cs="宋体"/>
          <w:color w:val="auto"/>
          <w:kern w:val="0"/>
          <w:sz w:val="24"/>
          <w:szCs w:val="24"/>
          <w:highlight w:val="none"/>
        </w:rPr>
        <w:t>乙方有转让和未经甲方同意的分包行为，按合同第</w:t>
      </w:r>
      <w:r>
        <w:rPr>
          <w:rFonts w:ascii="宋体" w:hAnsi="宋体" w:cs="宋体"/>
          <w:color w:val="auto"/>
          <w:kern w:val="0"/>
          <w:sz w:val="24"/>
          <w:szCs w:val="24"/>
          <w:highlight w:val="none"/>
        </w:rPr>
        <w:t>7.3</w:t>
      </w:r>
      <w:r>
        <w:rPr>
          <w:rFonts w:hint="eastAsia" w:ascii="宋体" w:hAnsi="宋体" w:cs="宋体"/>
          <w:color w:val="auto"/>
          <w:kern w:val="0"/>
          <w:sz w:val="24"/>
          <w:szCs w:val="24"/>
          <w:highlight w:val="none"/>
        </w:rPr>
        <w:t>的规定可以解除合同的。</w:t>
      </w:r>
    </w:p>
    <w:p w14:paraId="68B969CE">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18.1.3 </w:t>
      </w:r>
      <w:r>
        <w:rPr>
          <w:rFonts w:hint="eastAsia" w:ascii="宋体" w:hAnsi="宋体" w:cs="宋体"/>
          <w:color w:val="auto"/>
          <w:kern w:val="0"/>
          <w:sz w:val="24"/>
          <w:szCs w:val="24"/>
          <w:highlight w:val="none"/>
        </w:rPr>
        <w:t>乙方未能履行合同规定的其它主要义务的。</w:t>
      </w:r>
    </w:p>
    <w:p w14:paraId="5FC046F1">
      <w:pPr>
        <w:widowControl/>
        <w:snapToGrid w:val="0"/>
        <w:spacing w:line="520" w:lineRule="exact"/>
        <w:ind w:firstLine="360" w:firstLineChars="150"/>
        <w:jc w:val="left"/>
        <w:rPr>
          <w:rFonts w:ascii="宋体"/>
          <w:color w:val="auto"/>
          <w:kern w:val="0"/>
          <w:sz w:val="24"/>
          <w:szCs w:val="24"/>
          <w:highlight w:val="none"/>
        </w:rPr>
      </w:pPr>
      <w:r>
        <w:rPr>
          <w:rFonts w:ascii="宋体" w:hAnsi="宋体" w:cs="宋体"/>
          <w:color w:val="auto"/>
          <w:kern w:val="0"/>
          <w:sz w:val="24"/>
          <w:szCs w:val="24"/>
          <w:highlight w:val="none"/>
        </w:rPr>
        <w:t xml:space="preserve"> 18.1.4 </w:t>
      </w:r>
      <w:r>
        <w:rPr>
          <w:rFonts w:hint="eastAsia" w:ascii="宋体" w:hAnsi="宋体" w:cs="宋体"/>
          <w:color w:val="auto"/>
          <w:kern w:val="0"/>
          <w:sz w:val="24"/>
          <w:szCs w:val="24"/>
          <w:highlight w:val="none"/>
        </w:rPr>
        <w:t>在本合同履行过程中有腐败和欺诈行为的。</w:t>
      </w:r>
    </w:p>
    <w:p w14:paraId="57A23DD1">
      <w:pPr>
        <w:widowControl/>
        <w:snapToGrid w:val="0"/>
        <w:spacing w:line="520" w:lineRule="exact"/>
        <w:ind w:firstLine="360" w:firstLineChars="150"/>
        <w:jc w:val="left"/>
        <w:rPr>
          <w:rFonts w:ascii="宋体"/>
          <w:color w:val="auto"/>
          <w:kern w:val="0"/>
          <w:sz w:val="24"/>
          <w:szCs w:val="24"/>
          <w:highlight w:val="none"/>
        </w:rPr>
      </w:pPr>
      <w:r>
        <w:rPr>
          <w:rFonts w:ascii="宋体" w:hAnsi="宋体" w:cs="宋体"/>
          <w:color w:val="auto"/>
          <w:kern w:val="0"/>
          <w:sz w:val="24"/>
          <w:szCs w:val="24"/>
          <w:highlight w:val="none"/>
        </w:rPr>
        <w:t xml:space="preserve"> 18.2 </w:t>
      </w:r>
      <w:r>
        <w:rPr>
          <w:rFonts w:hint="eastAsia" w:ascii="宋体" w:hAnsi="宋体" w:cs="宋体"/>
          <w:color w:val="auto"/>
          <w:kern w:val="0"/>
          <w:sz w:val="24"/>
          <w:szCs w:val="24"/>
          <w:highlight w:val="none"/>
        </w:rPr>
        <w:t>在甲方根据上述第</w:t>
      </w:r>
      <w:r>
        <w:rPr>
          <w:rFonts w:ascii="宋体" w:hAnsi="宋体" w:cs="宋体"/>
          <w:color w:val="auto"/>
          <w:kern w:val="0"/>
          <w:sz w:val="24"/>
          <w:szCs w:val="24"/>
          <w:highlight w:val="none"/>
        </w:rPr>
        <w:t>18.1</w:t>
      </w:r>
      <w:r>
        <w:rPr>
          <w:rFonts w:hint="eastAsia" w:ascii="宋体" w:hAnsi="宋体" w:cs="宋体"/>
          <w:color w:val="auto"/>
          <w:kern w:val="0"/>
          <w:sz w:val="24"/>
          <w:szCs w:val="24"/>
          <w:highlight w:val="none"/>
        </w:rPr>
        <w:t>条规定，全部或部分解除合同之后，应当遵循诚实信用原则，全部或部分购买与未交付的货物类似的货物或服务，乙方应承担甲方购买类似货物或服务而产生的额外支出。部分解除合同的，乙方应继续履行合同中未解除的部分。</w:t>
      </w:r>
    </w:p>
    <w:p w14:paraId="34F3EEAF">
      <w:pPr>
        <w:widowControl/>
        <w:snapToGrid w:val="0"/>
        <w:spacing w:line="520" w:lineRule="exact"/>
        <w:ind w:firstLine="482" w:firstLineChars="200"/>
        <w:jc w:val="left"/>
        <w:outlineLvl w:val="0"/>
        <w:rPr>
          <w:rFonts w:ascii="宋体"/>
          <w:color w:val="auto"/>
          <w:kern w:val="0"/>
          <w:sz w:val="24"/>
          <w:szCs w:val="24"/>
          <w:highlight w:val="none"/>
        </w:rPr>
      </w:pPr>
      <w:bookmarkStart w:id="148" w:name="_Toc23405"/>
      <w:bookmarkStart w:id="149" w:name="_Toc13339"/>
      <w:r>
        <w:rPr>
          <w:rFonts w:ascii="宋体" w:hAnsi="宋体" w:cs="宋体"/>
          <w:b/>
          <w:bCs/>
          <w:color w:val="auto"/>
          <w:kern w:val="0"/>
          <w:sz w:val="24"/>
          <w:szCs w:val="24"/>
          <w:highlight w:val="none"/>
        </w:rPr>
        <w:t>19.</w:t>
      </w:r>
      <w:r>
        <w:rPr>
          <w:rFonts w:hint="eastAsia" w:ascii="宋体" w:hAnsi="宋体" w:cs="宋体"/>
          <w:b/>
          <w:bCs/>
          <w:color w:val="auto"/>
          <w:kern w:val="0"/>
          <w:sz w:val="24"/>
          <w:szCs w:val="24"/>
          <w:highlight w:val="none"/>
        </w:rPr>
        <w:t>其他约定</w:t>
      </w:r>
      <w:bookmarkEnd w:id="148"/>
      <w:bookmarkEnd w:id="149"/>
    </w:p>
    <w:p w14:paraId="30983BC0">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19.1 </w:t>
      </w:r>
      <w:r>
        <w:rPr>
          <w:rFonts w:hint="eastAsia" w:ascii="宋体" w:hAnsi="宋体" w:cs="宋体"/>
          <w:color w:val="auto"/>
          <w:kern w:val="0"/>
          <w:sz w:val="24"/>
          <w:szCs w:val="24"/>
          <w:highlight w:val="none"/>
        </w:rPr>
        <w:t>本采购项目的招标文件、中标供应商的投标文件以及相关的澄清确认函（如果有的话）均为本合同不可分割的一部分，与本合同具有同等法律效力。</w:t>
      </w:r>
    </w:p>
    <w:p w14:paraId="703018CF">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19.2 </w:t>
      </w:r>
      <w:r>
        <w:rPr>
          <w:rFonts w:hint="eastAsia" w:ascii="宋体" w:hAnsi="宋体" w:cs="宋体"/>
          <w:color w:val="auto"/>
          <w:kern w:val="0"/>
          <w:sz w:val="24"/>
          <w:szCs w:val="24"/>
          <w:highlight w:val="none"/>
        </w:rPr>
        <w:t>本合同未尽事宜，双方另行补充。</w:t>
      </w:r>
    </w:p>
    <w:p w14:paraId="2BD47B58">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19.3</w:t>
      </w:r>
      <w:r>
        <w:rPr>
          <w:rFonts w:hint="eastAsia" w:ascii="宋体" w:hAnsi="宋体" w:cs="宋体"/>
          <w:color w:val="auto"/>
          <w:kern w:val="0"/>
          <w:sz w:val="24"/>
          <w:szCs w:val="24"/>
          <w:highlight w:val="none"/>
        </w:rPr>
        <w:t>本合同正本一式份，具有同等法律效力，甲、乙双方各执两份。自采购合同签订之日起</w:t>
      </w:r>
      <w:r>
        <w:rPr>
          <w:rFonts w:ascii="宋体" w:hAnsi="宋体" w:cs="宋体"/>
          <w:color w:val="auto"/>
          <w:kern w:val="0"/>
          <w:sz w:val="24"/>
          <w:szCs w:val="24"/>
          <w:highlight w:val="none"/>
        </w:rPr>
        <w:t>7</w:t>
      </w:r>
      <w:r>
        <w:rPr>
          <w:rFonts w:hint="eastAsia" w:ascii="宋体" w:hAnsi="宋体" w:cs="宋体"/>
          <w:color w:val="auto"/>
          <w:kern w:val="0"/>
          <w:sz w:val="24"/>
          <w:szCs w:val="24"/>
          <w:highlight w:val="none"/>
        </w:rPr>
        <w:t>个工作日内，甲方按照有关规定将合同副本报同级财政部门备案。</w:t>
      </w:r>
    </w:p>
    <w:p w14:paraId="147ADD05">
      <w:pPr>
        <w:widowControl/>
        <w:snapToGrid w:val="0"/>
        <w:spacing w:line="520" w:lineRule="exact"/>
        <w:ind w:firstLine="480" w:firstLineChars="200"/>
        <w:jc w:val="left"/>
        <w:rPr>
          <w:rFonts w:ascii="宋体"/>
          <w:color w:val="auto"/>
          <w:kern w:val="0"/>
          <w:sz w:val="24"/>
          <w:szCs w:val="24"/>
          <w:highlight w:val="none"/>
        </w:rPr>
      </w:pPr>
      <w:r>
        <w:rPr>
          <w:rFonts w:ascii="宋体" w:hAnsi="宋体" w:cs="宋体"/>
          <w:color w:val="auto"/>
          <w:kern w:val="0"/>
          <w:sz w:val="24"/>
          <w:szCs w:val="24"/>
          <w:highlight w:val="none"/>
        </w:rPr>
        <w:t xml:space="preserve">19.4 </w:t>
      </w:r>
      <w:r>
        <w:rPr>
          <w:rFonts w:hint="eastAsia" w:ascii="宋体" w:hAnsi="宋体" w:cs="宋体"/>
          <w:color w:val="auto"/>
          <w:kern w:val="0"/>
          <w:sz w:val="24"/>
          <w:szCs w:val="24"/>
          <w:highlight w:val="none"/>
        </w:rPr>
        <w:t>签定地点：</w:t>
      </w:r>
    </w:p>
    <w:p w14:paraId="022CCCCA">
      <w:pPr>
        <w:widowControl/>
        <w:snapToGrid w:val="0"/>
        <w:spacing w:line="520" w:lineRule="exact"/>
        <w:ind w:firstLine="480" w:firstLineChars="200"/>
        <w:jc w:val="left"/>
        <w:rPr>
          <w:rFonts w:ascii="宋体"/>
          <w:color w:val="auto"/>
          <w:kern w:val="0"/>
          <w:sz w:val="24"/>
          <w:szCs w:val="24"/>
          <w:highlight w:val="none"/>
        </w:rPr>
      </w:pPr>
      <w:r>
        <w:rPr>
          <w:rFonts w:hint="eastAsia" w:ascii="宋体" w:hAnsi="宋体" w:cs="宋体"/>
          <w:color w:val="auto"/>
          <w:kern w:val="0"/>
          <w:sz w:val="24"/>
          <w:szCs w:val="24"/>
          <w:highlight w:val="none"/>
        </w:rPr>
        <w:t>甲方：                                乙方：</w:t>
      </w:r>
    </w:p>
    <w:p w14:paraId="38BA4CF9">
      <w:pPr>
        <w:widowControl/>
        <w:snapToGrid w:val="0"/>
        <w:spacing w:line="520" w:lineRule="exact"/>
        <w:ind w:firstLine="480" w:firstLineChars="200"/>
        <w:jc w:val="left"/>
        <w:rPr>
          <w:rFonts w:ascii="宋体"/>
          <w:color w:val="auto"/>
          <w:kern w:val="0"/>
          <w:sz w:val="24"/>
          <w:szCs w:val="24"/>
          <w:highlight w:val="none"/>
        </w:rPr>
      </w:pPr>
      <w:r>
        <w:rPr>
          <w:rFonts w:hint="eastAsia" w:ascii="宋体" w:hAnsi="宋体" w:cs="宋体"/>
          <w:color w:val="auto"/>
          <w:kern w:val="0"/>
          <w:sz w:val="24"/>
          <w:szCs w:val="24"/>
          <w:highlight w:val="none"/>
        </w:rPr>
        <w:t>单位地址：                           单位地址：</w:t>
      </w:r>
    </w:p>
    <w:p w14:paraId="40AFE707">
      <w:pPr>
        <w:widowControl/>
        <w:snapToGrid w:val="0"/>
        <w:spacing w:line="520" w:lineRule="exact"/>
        <w:ind w:firstLine="480" w:firstLineChars="200"/>
        <w:jc w:val="left"/>
        <w:rPr>
          <w:rFonts w:ascii="宋体"/>
          <w:color w:val="auto"/>
          <w:kern w:val="0"/>
          <w:sz w:val="24"/>
          <w:szCs w:val="24"/>
          <w:highlight w:val="none"/>
        </w:rPr>
      </w:pPr>
      <w:r>
        <w:rPr>
          <w:rFonts w:hint="eastAsia" w:ascii="宋体" w:hAnsi="宋体" w:cs="宋体"/>
          <w:color w:val="auto"/>
          <w:kern w:val="0"/>
          <w:sz w:val="24"/>
          <w:szCs w:val="24"/>
          <w:highlight w:val="none"/>
        </w:rPr>
        <w:t>法定代表人：                         法定代表人：</w:t>
      </w:r>
    </w:p>
    <w:p w14:paraId="019AE429">
      <w:pPr>
        <w:widowControl/>
        <w:snapToGrid w:val="0"/>
        <w:spacing w:line="520" w:lineRule="exact"/>
        <w:ind w:firstLine="480" w:firstLineChars="200"/>
        <w:jc w:val="left"/>
        <w:rPr>
          <w:rFonts w:ascii="宋体"/>
          <w:color w:val="auto"/>
          <w:kern w:val="0"/>
          <w:sz w:val="24"/>
          <w:szCs w:val="24"/>
          <w:highlight w:val="none"/>
        </w:rPr>
      </w:pPr>
      <w:r>
        <w:rPr>
          <w:rFonts w:hint="eastAsia" w:ascii="宋体" w:hAnsi="宋体" w:cs="宋体"/>
          <w:color w:val="auto"/>
          <w:kern w:val="0"/>
          <w:sz w:val="24"/>
          <w:szCs w:val="24"/>
          <w:highlight w:val="none"/>
        </w:rPr>
        <w:t>委托代理人：                         委托代理人：</w:t>
      </w:r>
    </w:p>
    <w:p w14:paraId="5DDD0BBA">
      <w:pPr>
        <w:widowControl/>
        <w:snapToGrid w:val="0"/>
        <w:spacing w:line="520" w:lineRule="exact"/>
        <w:ind w:firstLine="480" w:firstLineChars="200"/>
        <w:jc w:val="left"/>
        <w:rPr>
          <w:rFonts w:ascii="宋体"/>
          <w:color w:val="auto"/>
          <w:kern w:val="0"/>
          <w:sz w:val="24"/>
          <w:szCs w:val="24"/>
          <w:highlight w:val="none"/>
        </w:rPr>
      </w:pPr>
      <w:r>
        <w:rPr>
          <w:rFonts w:hint="eastAsia" w:ascii="宋体" w:hAnsi="宋体" w:cs="宋体"/>
          <w:color w:val="auto"/>
          <w:kern w:val="0"/>
          <w:sz w:val="24"/>
          <w:szCs w:val="24"/>
          <w:highlight w:val="none"/>
        </w:rPr>
        <w:t>电话：                                 电话：</w:t>
      </w:r>
    </w:p>
    <w:p w14:paraId="4CCF83EB">
      <w:pPr>
        <w:widowControl/>
        <w:snapToGrid w:val="0"/>
        <w:spacing w:line="520" w:lineRule="exact"/>
        <w:ind w:firstLine="480" w:firstLineChars="200"/>
        <w:jc w:val="left"/>
        <w:rPr>
          <w:rFonts w:ascii="宋体"/>
          <w:color w:val="auto"/>
          <w:kern w:val="0"/>
          <w:sz w:val="24"/>
          <w:szCs w:val="24"/>
          <w:highlight w:val="none"/>
        </w:rPr>
      </w:pPr>
    </w:p>
    <w:p w14:paraId="3B268A29">
      <w:pPr>
        <w:widowControl/>
        <w:snapToGrid w:val="0"/>
        <w:spacing w:line="520" w:lineRule="exact"/>
        <w:ind w:firstLine="480" w:firstLineChars="200"/>
        <w:jc w:val="left"/>
        <w:rPr>
          <w:rFonts w:ascii="宋体"/>
          <w:color w:val="auto"/>
          <w:kern w:val="0"/>
          <w:sz w:val="24"/>
          <w:szCs w:val="24"/>
          <w:highlight w:val="none"/>
        </w:rPr>
      </w:pPr>
      <w:r>
        <w:rPr>
          <w:rFonts w:hint="eastAsia" w:ascii="宋体" w:hAnsi="宋体" w:cs="宋体"/>
          <w:color w:val="auto"/>
          <w:kern w:val="0"/>
          <w:sz w:val="24"/>
          <w:szCs w:val="24"/>
          <w:highlight w:val="none"/>
        </w:rPr>
        <w:t>（监督管理部门）</w:t>
      </w:r>
    </w:p>
    <w:p w14:paraId="650533A8">
      <w:pPr>
        <w:widowControl/>
        <w:snapToGrid w:val="0"/>
        <w:spacing w:line="520" w:lineRule="exact"/>
        <w:ind w:firstLine="4320" w:firstLineChars="1800"/>
        <w:jc w:val="left"/>
        <w:rPr>
          <w:rFonts w:ascii="宋体"/>
          <w:color w:val="auto"/>
          <w:kern w:val="0"/>
          <w:sz w:val="24"/>
          <w:szCs w:val="24"/>
          <w:highlight w:val="none"/>
        </w:rPr>
      </w:pPr>
      <w:r>
        <w:rPr>
          <w:rFonts w:hint="eastAsia" w:ascii="宋体" w:hAnsi="宋体" w:cs="宋体"/>
          <w:color w:val="auto"/>
          <w:kern w:val="0"/>
          <w:sz w:val="24"/>
          <w:szCs w:val="24"/>
          <w:highlight w:val="none"/>
        </w:rPr>
        <w:t>签订日期：   年   月   日</w:t>
      </w:r>
    </w:p>
    <w:p w14:paraId="6EE33577">
      <w:pPr>
        <w:spacing w:line="360" w:lineRule="auto"/>
        <w:jc w:val="center"/>
        <w:rPr>
          <w:rFonts w:ascii="宋体"/>
          <w:b/>
          <w:bCs/>
          <w:color w:val="auto"/>
          <w:sz w:val="24"/>
          <w:szCs w:val="24"/>
          <w:highlight w:val="none"/>
        </w:rPr>
      </w:pPr>
    </w:p>
    <w:p w14:paraId="58A7BD6B">
      <w:pPr>
        <w:spacing w:line="360" w:lineRule="auto"/>
        <w:jc w:val="center"/>
        <w:rPr>
          <w:rFonts w:hint="eastAsia" w:ascii="宋体"/>
          <w:b/>
          <w:bCs/>
          <w:color w:val="auto"/>
          <w:sz w:val="24"/>
          <w:szCs w:val="24"/>
          <w:highlight w:val="none"/>
        </w:rPr>
      </w:pPr>
    </w:p>
    <w:p w14:paraId="66FD75CD">
      <w:pPr>
        <w:spacing w:line="360" w:lineRule="auto"/>
        <w:jc w:val="center"/>
        <w:rPr>
          <w:rFonts w:hint="eastAsia" w:ascii="宋体"/>
          <w:b/>
          <w:bCs/>
          <w:color w:val="auto"/>
          <w:sz w:val="24"/>
          <w:szCs w:val="24"/>
          <w:highlight w:val="none"/>
        </w:rPr>
      </w:pPr>
    </w:p>
    <w:p w14:paraId="4A54B37A">
      <w:pPr>
        <w:shd w:val="clear" w:color="auto" w:fill="FFFFFF"/>
        <w:snapToGrid w:val="0"/>
        <w:spacing w:line="360" w:lineRule="auto"/>
        <w:ind w:right="105" w:rightChars="50"/>
        <w:jc w:val="center"/>
        <w:rPr>
          <w:rFonts w:hint="eastAsia" w:ascii="宋体" w:hAnsi="宋体" w:cs="宋体"/>
          <w:b/>
          <w:bCs/>
          <w:color w:val="auto"/>
          <w:sz w:val="48"/>
          <w:szCs w:val="48"/>
          <w:highlight w:val="none"/>
        </w:rPr>
      </w:pPr>
    </w:p>
    <w:p w14:paraId="2581EBC7">
      <w:pPr>
        <w:shd w:val="clear" w:color="auto" w:fill="FFFFFF"/>
        <w:snapToGrid w:val="0"/>
        <w:spacing w:line="360" w:lineRule="auto"/>
        <w:ind w:right="105" w:rightChars="50"/>
        <w:jc w:val="center"/>
        <w:rPr>
          <w:rFonts w:hint="eastAsia" w:ascii="宋体" w:hAnsi="宋体" w:cs="宋体"/>
          <w:b/>
          <w:bCs/>
          <w:color w:val="auto"/>
          <w:sz w:val="48"/>
          <w:szCs w:val="48"/>
          <w:highlight w:val="none"/>
        </w:rPr>
      </w:pPr>
    </w:p>
    <w:p w14:paraId="3A7A2D55">
      <w:pPr>
        <w:shd w:val="clear" w:color="auto" w:fill="FFFFFF"/>
        <w:snapToGrid w:val="0"/>
        <w:spacing w:line="360" w:lineRule="auto"/>
        <w:ind w:right="105" w:rightChars="50"/>
        <w:jc w:val="center"/>
        <w:rPr>
          <w:rFonts w:hint="eastAsia" w:ascii="宋体" w:hAnsi="宋体" w:cs="宋体"/>
          <w:b/>
          <w:bCs/>
          <w:color w:val="auto"/>
          <w:sz w:val="48"/>
          <w:szCs w:val="48"/>
          <w:highlight w:val="none"/>
        </w:rPr>
      </w:pPr>
    </w:p>
    <w:p w14:paraId="4A52C3C0">
      <w:pPr>
        <w:shd w:val="clear" w:color="auto" w:fill="FFFFFF"/>
        <w:snapToGrid w:val="0"/>
        <w:spacing w:line="360" w:lineRule="auto"/>
        <w:ind w:right="105" w:rightChars="50"/>
        <w:jc w:val="center"/>
        <w:rPr>
          <w:rFonts w:hint="eastAsia" w:ascii="宋体" w:hAnsi="宋体" w:cs="宋体"/>
          <w:b/>
          <w:bCs/>
          <w:color w:val="auto"/>
          <w:sz w:val="48"/>
          <w:szCs w:val="48"/>
          <w:highlight w:val="none"/>
        </w:rPr>
      </w:pPr>
    </w:p>
    <w:p w14:paraId="5B19D170">
      <w:pPr>
        <w:shd w:val="clear" w:color="auto" w:fill="FFFFFF"/>
        <w:snapToGrid w:val="0"/>
        <w:spacing w:line="360" w:lineRule="auto"/>
        <w:ind w:right="105" w:rightChars="50"/>
        <w:jc w:val="center"/>
        <w:rPr>
          <w:rFonts w:hint="eastAsia" w:ascii="宋体" w:hAnsi="宋体" w:cs="宋体"/>
          <w:b/>
          <w:bCs/>
          <w:color w:val="auto"/>
          <w:sz w:val="48"/>
          <w:szCs w:val="48"/>
          <w:highlight w:val="none"/>
        </w:rPr>
      </w:pPr>
    </w:p>
    <w:p w14:paraId="358C1F3F">
      <w:pPr>
        <w:shd w:val="clear" w:color="auto" w:fill="FFFFFF"/>
        <w:snapToGrid w:val="0"/>
        <w:spacing w:line="360" w:lineRule="auto"/>
        <w:ind w:right="105" w:rightChars="50"/>
        <w:jc w:val="center"/>
        <w:rPr>
          <w:rFonts w:hint="eastAsia" w:ascii="宋体" w:hAnsi="宋体" w:cs="宋体"/>
          <w:b/>
          <w:bCs/>
          <w:color w:val="auto"/>
          <w:sz w:val="48"/>
          <w:szCs w:val="48"/>
          <w:highlight w:val="none"/>
        </w:rPr>
      </w:pPr>
    </w:p>
    <w:p w14:paraId="75FAD823">
      <w:pPr>
        <w:shd w:val="clear" w:color="auto" w:fill="FFFFFF"/>
        <w:snapToGrid w:val="0"/>
        <w:spacing w:line="360" w:lineRule="auto"/>
        <w:ind w:right="105" w:rightChars="50"/>
        <w:jc w:val="center"/>
        <w:rPr>
          <w:rFonts w:hint="eastAsia" w:ascii="宋体" w:hAnsi="宋体" w:cs="宋体"/>
          <w:b/>
          <w:bCs/>
          <w:color w:val="auto"/>
          <w:sz w:val="48"/>
          <w:szCs w:val="48"/>
          <w:highlight w:val="none"/>
        </w:rPr>
      </w:pPr>
    </w:p>
    <w:p w14:paraId="29D569DC">
      <w:pPr>
        <w:shd w:val="clear" w:color="auto" w:fill="FFFFFF"/>
        <w:snapToGrid w:val="0"/>
        <w:spacing w:line="360" w:lineRule="auto"/>
        <w:ind w:right="105" w:rightChars="50"/>
        <w:jc w:val="center"/>
        <w:rPr>
          <w:rFonts w:hint="eastAsia" w:ascii="宋体" w:hAnsi="宋体" w:cs="宋体"/>
          <w:b/>
          <w:bCs/>
          <w:color w:val="auto"/>
          <w:sz w:val="48"/>
          <w:szCs w:val="48"/>
          <w:highlight w:val="none"/>
        </w:rPr>
      </w:pPr>
    </w:p>
    <w:p w14:paraId="7E28B316">
      <w:pPr>
        <w:shd w:val="clear" w:color="auto" w:fill="FFFFFF"/>
        <w:snapToGrid w:val="0"/>
        <w:spacing w:line="360" w:lineRule="auto"/>
        <w:ind w:right="105" w:rightChars="50"/>
        <w:jc w:val="center"/>
        <w:rPr>
          <w:rFonts w:hint="eastAsia" w:ascii="宋体" w:hAnsi="宋体" w:cs="宋体"/>
          <w:b/>
          <w:bCs/>
          <w:color w:val="auto"/>
          <w:sz w:val="48"/>
          <w:szCs w:val="48"/>
          <w:highlight w:val="none"/>
        </w:rPr>
      </w:pPr>
    </w:p>
    <w:p w14:paraId="251D4DC9">
      <w:pPr>
        <w:shd w:val="clear" w:color="auto" w:fill="FFFFFF"/>
        <w:snapToGrid w:val="0"/>
        <w:spacing w:line="360" w:lineRule="auto"/>
        <w:ind w:right="105" w:rightChars="50"/>
        <w:jc w:val="center"/>
        <w:rPr>
          <w:rFonts w:hint="eastAsia" w:ascii="宋体" w:hAnsi="宋体" w:cs="宋体"/>
          <w:b/>
          <w:bCs/>
          <w:color w:val="auto"/>
          <w:sz w:val="48"/>
          <w:szCs w:val="48"/>
          <w:highlight w:val="none"/>
        </w:rPr>
      </w:pPr>
    </w:p>
    <w:p w14:paraId="7EA097B1">
      <w:pPr>
        <w:shd w:val="clear" w:color="auto" w:fill="FFFFFF"/>
        <w:snapToGrid w:val="0"/>
        <w:spacing w:line="360" w:lineRule="auto"/>
        <w:ind w:right="105" w:rightChars="50"/>
        <w:jc w:val="center"/>
        <w:rPr>
          <w:rFonts w:hint="eastAsia" w:ascii="宋体" w:hAnsi="宋体" w:cs="宋体"/>
          <w:b/>
          <w:bCs/>
          <w:color w:val="auto"/>
          <w:sz w:val="48"/>
          <w:szCs w:val="48"/>
          <w:highlight w:val="none"/>
        </w:rPr>
      </w:pPr>
    </w:p>
    <w:p w14:paraId="1C42A507">
      <w:pPr>
        <w:shd w:val="clear" w:color="auto" w:fill="FFFFFF"/>
        <w:snapToGrid w:val="0"/>
        <w:spacing w:line="360" w:lineRule="auto"/>
        <w:ind w:right="105" w:rightChars="50"/>
        <w:jc w:val="center"/>
        <w:outlineLvl w:val="0"/>
        <w:rPr>
          <w:rFonts w:ascii="宋体"/>
          <w:b/>
          <w:bCs/>
          <w:color w:val="auto"/>
          <w:sz w:val="48"/>
          <w:szCs w:val="48"/>
          <w:highlight w:val="none"/>
        </w:rPr>
      </w:pPr>
      <w:bookmarkStart w:id="150" w:name="_Toc5275"/>
      <w:r>
        <w:rPr>
          <w:rFonts w:hint="eastAsia" w:ascii="宋体" w:hAnsi="宋体" w:cs="宋体"/>
          <w:b/>
          <w:bCs/>
          <w:color w:val="auto"/>
          <w:sz w:val="48"/>
          <w:szCs w:val="48"/>
          <w:highlight w:val="none"/>
        </w:rPr>
        <w:t>第六章</w:t>
      </w:r>
      <w:r>
        <w:rPr>
          <w:rFonts w:ascii="宋体" w:hAnsi="宋体" w:cs="宋体"/>
          <w:b/>
          <w:bCs/>
          <w:color w:val="auto"/>
          <w:sz w:val="48"/>
          <w:szCs w:val="48"/>
          <w:highlight w:val="none"/>
        </w:rPr>
        <w:t xml:space="preserve"> </w:t>
      </w:r>
      <w:r>
        <w:rPr>
          <w:rFonts w:hint="eastAsia" w:ascii="宋体" w:hAnsi="宋体" w:cs="宋体"/>
          <w:b/>
          <w:bCs/>
          <w:color w:val="auto"/>
          <w:sz w:val="48"/>
          <w:szCs w:val="48"/>
          <w:highlight w:val="none"/>
        </w:rPr>
        <w:t>投标文件格式</w:t>
      </w:r>
      <w:bookmarkEnd w:id="150"/>
    </w:p>
    <w:p w14:paraId="7BA32BF0">
      <w:pPr>
        <w:widowControl/>
        <w:shd w:val="clear" w:color="auto" w:fill="FFFFFF"/>
        <w:autoSpaceDN w:val="0"/>
        <w:spacing w:line="360" w:lineRule="auto"/>
        <w:jc w:val="center"/>
        <w:rPr>
          <w:rFonts w:ascii="宋体"/>
          <w:b/>
          <w:bCs/>
          <w:color w:val="auto"/>
          <w:kern w:val="0"/>
          <w:sz w:val="24"/>
          <w:szCs w:val="24"/>
          <w:highlight w:val="none"/>
          <w:shd w:val="clear" w:color="auto" w:fill="FFFFFF"/>
        </w:rPr>
      </w:pPr>
      <w:bookmarkStart w:id="151" w:name="_Toc223432388"/>
      <w:bookmarkStart w:id="152" w:name="_Toc171073043"/>
      <w:bookmarkStart w:id="153" w:name="_Toc171073208"/>
      <w:r>
        <w:rPr>
          <w:rFonts w:hint="eastAsia" w:ascii="宋体" w:hAnsi="宋体" w:cs="宋体"/>
          <w:color w:val="auto"/>
          <w:kern w:val="0"/>
          <w:sz w:val="24"/>
          <w:szCs w:val="24"/>
          <w:highlight w:val="none"/>
          <w:shd w:val="clear" w:color="auto" w:fill="FFFFFF"/>
        </w:rPr>
        <w:t>★</w:t>
      </w:r>
      <w:r>
        <w:rPr>
          <w:rFonts w:hint="eastAsia" w:ascii="宋体" w:hAnsi="宋体" w:cs="宋体"/>
          <w:b/>
          <w:bCs/>
          <w:color w:val="auto"/>
          <w:kern w:val="0"/>
          <w:sz w:val="24"/>
          <w:szCs w:val="24"/>
          <w:highlight w:val="none"/>
          <w:shd w:val="clear" w:color="auto" w:fill="FFFFFF"/>
        </w:rPr>
        <w:t>说明：请供应商使用此页格式作为所编写投标文件的封皮。</w:t>
      </w:r>
    </w:p>
    <w:p w14:paraId="68C2E471">
      <w:pPr>
        <w:shd w:val="clear" w:color="auto" w:fill="FFFFFF"/>
        <w:snapToGrid w:val="0"/>
        <w:spacing w:line="360" w:lineRule="auto"/>
        <w:ind w:right="105" w:rightChars="50"/>
        <w:rPr>
          <w:rFonts w:hint="eastAsia" w:ascii="宋体"/>
          <w:b/>
          <w:bCs/>
          <w:color w:val="auto"/>
          <w:sz w:val="36"/>
          <w:szCs w:val="36"/>
          <w:highlight w:val="none"/>
        </w:rPr>
      </w:pPr>
    </w:p>
    <w:p w14:paraId="1FF4E359">
      <w:pPr>
        <w:jc w:val="center"/>
        <w:rPr>
          <w:rFonts w:ascii="宋体"/>
          <w:b/>
          <w:bCs/>
          <w:color w:val="auto"/>
          <w:sz w:val="96"/>
          <w:szCs w:val="96"/>
          <w:highlight w:val="none"/>
        </w:rPr>
      </w:pPr>
      <w:r>
        <w:rPr>
          <w:rFonts w:hint="eastAsia" w:ascii="宋体" w:hAnsi="宋体" w:cs="宋体"/>
          <w:b/>
          <w:bCs/>
          <w:color w:val="auto"/>
          <w:sz w:val="52"/>
          <w:szCs w:val="52"/>
          <w:highlight w:val="none"/>
          <w:lang w:eastAsia="zh-CN"/>
        </w:rPr>
        <w:t>义马市交通运输局（原G310义渑东交界处）双向不停车智能检测项目</w:t>
      </w:r>
    </w:p>
    <w:p w14:paraId="5253FB87">
      <w:pPr>
        <w:rPr>
          <w:color w:val="auto"/>
          <w:highlight w:val="none"/>
        </w:rPr>
      </w:pPr>
    </w:p>
    <w:p w14:paraId="0F553ABF">
      <w:pPr>
        <w:rPr>
          <w:color w:val="auto"/>
          <w:highlight w:val="none"/>
        </w:rPr>
      </w:pPr>
    </w:p>
    <w:p w14:paraId="2AABD244">
      <w:pPr>
        <w:rPr>
          <w:color w:val="auto"/>
          <w:highlight w:val="none"/>
        </w:rPr>
      </w:pPr>
    </w:p>
    <w:p w14:paraId="42E9AF0F">
      <w:pPr>
        <w:rPr>
          <w:color w:val="auto"/>
          <w:highlight w:val="none"/>
        </w:rPr>
      </w:pPr>
    </w:p>
    <w:p w14:paraId="49574C17">
      <w:pPr>
        <w:rPr>
          <w:color w:val="auto"/>
          <w:highlight w:val="none"/>
        </w:rPr>
      </w:pPr>
    </w:p>
    <w:p w14:paraId="48D284CA">
      <w:pPr>
        <w:rPr>
          <w:color w:val="auto"/>
          <w:highlight w:val="none"/>
        </w:rPr>
      </w:pPr>
    </w:p>
    <w:p w14:paraId="584F1B77">
      <w:pPr>
        <w:jc w:val="center"/>
        <w:rPr>
          <w:rFonts w:ascii="宋体"/>
          <w:b/>
          <w:bCs/>
          <w:color w:val="auto"/>
          <w:sz w:val="72"/>
          <w:szCs w:val="72"/>
          <w:highlight w:val="none"/>
        </w:rPr>
      </w:pPr>
      <w:r>
        <w:rPr>
          <w:rFonts w:hint="eastAsia" w:ascii="宋体" w:hAnsi="宋体" w:cs="宋体"/>
          <w:b/>
          <w:bCs/>
          <w:color w:val="auto"/>
          <w:sz w:val="72"/>
          <w:szCs w:val="72"/>
          <w:highlight w:val="none"/>
        </w:rPr>
        <w:t>投标文件</w:t>
      </w:r>
    </w:p>
    <w:p w14:paraId="68DB2CD7">
      <w:pPr>
        <w:shd w:val="clear" w:color="auto" w:fill="FFFFFF"/>
        <w:snapToGrid w:val="0"/>
        <w:spacing w:line="360" w:lineRule="auto"/>
        <w:ind w:right="105" w:rightChars="50"/>
        <w:jc w:val="center"/>
        <w:rPr>
          <w:rFonts w:ascii="宋体"/>
          <w:b/>
          <w:bCs/>
          <w:color w:val="auto"/>
          <w:sz w:val="28"/>
          <w:szCs w:val="28"/>
          <w:highlight w:val="none"/>
        </w:rPr>
      </w:pPr>
    </w:p>
    <w:p w14:paraId="5726180F">
      <w:pPr>
        <w:shd w:val="clear" w:color="auto" w:fill="FFFFFF"/>
        <w:snapToGrid w:val="0"/>
        <w:spacing w:line="360" w:lineRule="auto"/>
        <w:ind w:right="105" w:rightChars="50"/>
        <w:jc w:val="center"/>
        <w:rPr>
          <w:rFonts w:ascii="宋体"/>
          <w:b/>
          <w:bCs/>
          <w:color w:val="auto"/>
          <w:sz w:val="28"/>
          <w:szCs w:val="28"/>
          <w:highlight w:val="none"/>
        </w:rPr>
      </w:pPr>
    </w:p>
    <w:p w14:paraId="07186778">
      <w:pPr>
        <w:shd w:val="clear" w:color="auto" w:fill="FFFFFF"/>
        <w:snapToGrid w:val="0"/>
        <w:spacing w:line="360" w:lineRule="auto"/>
        <w:ind w:right="105" w:rightChars="50" w:firstLine="2711" w:firstLineChars="900"/>
        <w:jc w:val="both"/>
        <w:rPr>
          <w:rFonts w:hint="default" w:ascii="宋体" w:hAnsi="宋体" w:eastAsia="宋体" w:cs="宋体"/>
          <w:b/>
          <w:bCs/>
          <w:color w:val="auto"/>
          <w:sz w:val="30"/>
          <w:szCs w:val="30"/>
          <w:highlight w:val="none"/>
          <w:lang w:val="en-US"/>
        </w:rPr>
      </w:pPr>
      <w:r>
        <w:rPr>
          <w:rFonts w:hint="eastAsia" w:ascii="宋体" w:hAnsi="宋体" w:eastAsia="宋体" w:cs="宋体"/>
          <w:b/>
          <w:bCs/>
          <w:color w:val="auto"/>
          <w:sz w:val="30"/>
          <w:szCs w:val="30"/>
          <w:highlight w:val="none"/>
        </w:rPr>
        <w:t>采购编号：</w:t>
      </w:r>
      <w:r>
        <w:rPr>
          <w:rFonts w:hint="eastAsia" w:ascii="宋体" w:hAnsi="宋体" w:cs="宋体"/>
          <w:b/>
          <w:bCs/>
          <w:color w:val="auto"/>
          <w:sz w:val="30"/>
          <w:szCs w:val="30"/>
          <w:highlight w:val="none"/>
          <w:lang w:val="en-US" w:eastAsia="zh-CN"/>
        </w:rPr>
        <w:t xml:space="preserve"> </w:t>
      </w:r>
    </w:p>
    <w:p w14:paraId="0F6BDADB">
      <w:pPr>
        <w:shd w:val="clear" w:color="auto" w:fill="FFFFFF"/>
        <w:snapToGrid w:val="0"/>
        <w:spacing w:line="360" w:lineRule="auto"/>
        <w:ind w:right="105" w:rightChars="50" w:firstLine="2711" w:firstLineChars="900"/>
        <w:jc w:val="both"/>
        <w:rPr>
          <w:rFonts w:hint="default" w:ascii="宋体" w:hAnsi="宋体" w:eastAsia="宋体" w:cs="宋体"/>
          <w:b/>
          <w:bCs/>
          <w:color w:val="auto"/>
          <w:sz w:val="30"/>
          <w:szCs w:val="30"/>
          <w:highlight w:val="none"/>
          <w:lang w:val="en-US"/>
        </w:rPr>
      </w:pPr>
      <w:r>
        <w:rPr>
          <w:rFonts w:hint="eastAsia" w:ascii="宋体" w:hAnsi="宋体" w:eastAsia="宋体" w:cs="宋体"/>
          <w:b/>
          <w:bCs/>
          <w:color w:val="auto"/>
          <w:sz w:val="30"/>
          <w:szCs w:val="30"/>
          <w:highlight w:val="none"/>
        </w:rPr>
        <w:t>项目编号：</w:t>
      </w:r>
      <w:r>
        <w:rPr>
          <w:rFonts w:hint="eastAsia" w:ascii="宋体" w:hAnsi="宋体" w:cs="宋体"/>
          <w:b/>
          <w:bCs/>
          <w:color w:val="auto"/>
          <w:sz w:val="30"/>
          <w:szCs w:val="30"/>
          <w:highlight w:val="none"/>
          <w:lang w:val="en-US" w:eastAsia="zh-CN"/>
        </w:rPr>
        <w:t xml:space="preserve"> </w:t>
      </w:r>
    </w:p>
    <w:p w14:paraId="60153F3A">
      <w:pPr>
        <w:shd w:val="clear" w:color="auto" w:fill="FFFFFF"/>
        <w:snapToGrid w:val="0"/>
        <w:spacing w:line="360" w:lineRule="auto"/>
        <w:ind w:right="105" w:rightChars="50"/>
        <w:jc w:val="both"/>
        <w:rPr>
          <w:rFonts w:ascii="宋体"/>
          <w:b/>
          <w:bCs/>
          <w:color w:val="auto"/>
          <w:kern w:val="0"/>
          <w:sz w:val="24"/>
          <w:szCs w:val="24"/>
          <w:highlight w:val="none"/>
          <w:shd w:val="clear" w:color="auto" w:fill="FFFFFF"/>
        </w:rPr>
      </w:pPr>
    </w:p>
    <w:p w14:paraId="03F6836C">
      <w:pPr>
        <w:pStyle w:val="2"/>
        <w:rPr>
          <w:color w:val="auto"/>
          <w:highlight w:val="none"/>
        </w:rPr>
      </w:pPr>
    </w:p>
    <w:p w14:paraId="05EE60C0">
      <w:pPr>
        <w:widowControl/>
        <w:shd w:val="clear" w:color="auto" w:fill="FFFFFF"/>
        <w:autoSpaceDN w:val="0"/>
        <w:spacing w:line="360" w:lineRule="auto"/>
        <w:ind w:firstLine="1269" w:firstLineChars="395"/>
        <w:rPr>
          <w:rFonts w:ascii="宋体"/>
          <w:color w:val="auto"/>
          <w:kern w:val="0"/>
          <w:sz w:val="32"/>
          <w:szCs w:val="32"/>
          <w:highlight w:val="none"/>
          <w:shd w:val="clear" w:color="auto" w:fill="FFFFFF"/>
        </w:rPr>
      </w:pPr>
      <w:r>
        <w:rPr>
          <w:rFonts w:hint="eastAsia" w:ascii="宋体" w:hAnsi="宋体" w:cs="宋体"/>
          <w:b/>
          <w:bCs/>
          <w:color w:val="auto"/>
          <w:kern w:val="0"/>
          <w:sz w:val="32"/>
          <w:szCs w:val="32"/>
          <w:highlight w:val="none"/>
          <w:shd w:val="clear" w:color="auto" w:fill="FFFFFF"/>
        </w:rPr>
        <w:t xml:space="preserve">    投标供应商：（盖章）</w:t>
      </w:r>
    </w:p>
    <w:p w14:paraId="4A50E321">
      <w:pPr>
        <w:widowControl/>
        <w:shd w:val="clear" w:color="auto" w:fill="FFFFFF"/>
        <w:tabs>
          <w:tab w:val="left" w:pos="360"/>
        </w:tabs>
        <w:autoSpaceDN w:val="0"/>
        <w:spacing w:line="360" w:lineRule="auto"/>
        <w:ind w:firstLine="1269" w:firstLineChars="395"/>
        <w:rPr>
          <w:rFonts w:ascii="宋体"/>
          <w:b/>
          <w:bCs/>
          <w:color w:val="auto"/>
          <w:kern w:val="0"/>
          <w:sz w:val="32"/>
          <w:szCs w:val="32"/>
          <w:highlight w:val="none"/>
          <w:shd w:val="clear" w:color="auto" w:fill="FFFFFF"/>
        </w:rPr>
      </w:pPr>
      <w:r>
        <w:rPr>
          <w:rFonts w:hint="eastAsia" w:ascii="宋体" w:hAnsi="宋体" w:cs="宋体"/>
          <w:b/>
          <w:bCs/>
          <w:color w:val="auto"/>
          <w:kern w:val="0"/>
          <w:sz w:val="32"/>
          <w:szCs w:val="32"/>
          <w:highlight w:val="none"/>
          <w:shd w:val="clear" w:color="auto" w:fill="FFFFFF"/>
        </w:rPr>
        <w:t xml:space="preserve">    法定代表人：（签章）</w:t>
      </w:r>
    </w:p>
    <w:p w14:paraId="00480E84">
      <w:pPr>
        <w:widowControl/>
        <w:shd w:val="clear" w:color="auto" w:fill="FFFFFF"/>
        <w:autoSpaceDN w:val="0"/>
        <w:spacing w:line="360" w:lineRule="auto"/>
        <w:ind w:firstLine="1269" w:firstLineChars="395"/>
        <w:rPr>
          <w:rFonts w:hint="eastAsia" w:ascii="宋体" w:hAnsi="宋体" w:cs="宋体"/>
          <w:b/>
          <w:bCs/>
          <w:color w:val="auto"/>
          <w:sz w:val="44"/>
          <w:szCs w:val="44"/>
          <w:highlight w:val="none"/>
        </w:rPr>
      </w:pPr>
      <w:r>
        <w:rPr>
          <w:rFonts w:hint="eastAsia" w:ascii="宋体" w:hAnsi="宋体" w:cs="宋体"/>
          <w:b/>
          <w:bCs/>
          <w:color w:val="auto"/>
          <w:kern w:val="0"/>
          <w:sz w:val="32"/>
          <w:szCs w:val="32"/>
          <w:highlight w:val="none"/>
          <w:shd w:val="clear" w:color="auto" w:fill="FFFFFF"/>
        </w:rPr>
        <w:t xml:space="preserve">    日      期：</w:t>
      </w:r>
    </w:p>
    <w:p w14:paraId="2B2D6A06">
      <w:pPr>
        <w:rPr>
          <w:rFonts w:hint="eastAsia"/>
          <w:color w:val="auto"/>
          <w:highlight w:val="none"/>
        </w:rPr>
      </w:pPr>
    </w:p>
    <w:p w14:paraId="6E1F259C">
      <w:pPr>
        <w:jc w:val="center"/>
        <w:rPr>
          <w:rFonts w:hint="eastAsia" w:ascii="宋体" w:hAnsi="宋体" w:cs="宋体"/>
          <w:b/>
          <w:bCs/>
          <w:color w:val="auto"/>
          <w:sz w:val="44"/>
          <w:szCs w:val="44"/>
          <w:highlight w:val="none"/>
        </w:rPr>
      </w:pPr>
    </w:p>
    <w:p w14:paraId="573F2350">
      <w:pPr>
        <w:jc w:val="center"/>
        <w:rPr>
          <w:rFonts w:hint="eastAsia" w:ascii="宋体" w:hAnsi="宋体" w:cs="宋体"/>
          <w:b/>
          <w:bCs/>
          <w:color w:val="auto"/>
          <w:sz w:val="44"/>
          <w:szCs w:val="44"/>
          <w:highlight w:val="none"/>
        </w:rPr>
      </w:pPr>
    </w:p>
    <w:p w14:paraId="2E4DAB2C">
      <w:pPr>
        <w:jc w:val="center"/>
        <w:rPr>
          <w:rFonts w:ascii="宋体"/>
          <w:b/>
          <w:bCs/>
          <w:color w:val="auto"/>
          <w:sz w:val="36"/>
          <w:szCs w:val="36"/>
          <w:highlight w:val="none"/>
        </w:rPr>
      </w:pPr>
      <w:r>
        <w:rPr>
          <w:rFonts w:hint="eastAsia" w:ascii="宋体" w:hAnsi="宋体" w:cs="宋体"/>
          <w:b/>
          <w:bCs/>
          <w:color w:val="auto"/>
          <w:sz w:val="44"/>
          <w:szCs w:val="44"/>
          <w:highlight w:val="none"/>
        </w:rPr>
        <w:t>投标文件目录</w:t>
      </w:r>
    </w:p>
    <w:p w14:paraId="38539E58">
      <w:pPr>
        <w:widowControl/>
        <w:shd w:val="clear" w:color="auto" w:fill="FFFFFF"/>
        <w:autoSpaceDN w:val="0"/>
        <w:spacing w:line="360" w:lineRule="auto"/>
        <w:jc w:val="left"/>
        <w:rPr>
          <w:rFonts w:hint="eastAsia" w:ascii="宋体" w:hAnsi="宋体" w:cs="宋体"/>
          <w:b/>
          <w:bCs/>
          <w:color w:val="auto"/>
          <w:sz w:val="30"/>
          <w:szCs w:val="30"/>
          <w:highlight w:val="none"/>
        </w:rPr>
      </w:pPr>
    </w:p>
    <w:p w14:paraId="5DD5BD4D">
      <w:pPr>
        <w:rPr>
          <w:rFonts w:hint="eastAsia" w:eastAsia="宋体"/>
          <w:color w:val="auto"/>
          <w:sz w:val="28"/>
          <w:szCs w:val="28"/>
          <w:highlight w:val="none"/>
          <w:lang w:val="en-US" w:eastAsia="zh-CN"/>
        </w:rPr>
      </w:pPr>
      <w:r>
        <w:rPr>
          <w:rFonts w:hint="eastAsia"/>
          <w:color w:val="auto"/>
          <w:sz w:val="28"/>
          <w:szCs w:val="28"/>
          <w:highlight w:val="none"/>
        </w:rPr>
        <w:t>一、法定代表人身份证明</w:t>
      </w:r>
      <w:r>
        <w:rPr>
          <w:rFonts w:hint="eastAsia"/>
          <w:color w:val="auto"/>
          <w:sz w:val="28"/>
          <w:szCs w:val="28"/>
          <w:highlight w:val="none"/>
          <w:lang w:val="en-US" w:eastAsia="zh-CN"/>
        </w:rPr>
        <w:t>书</w:t>
      </w:r>
    </w:p>
    <w:p w14:paraId="575BCBD1">
      <w:pPr>
        <w:rPr>
          <w:color w:val="auto"/>
          <w:sz w:val="28"/>
          <w:szCs w:val="28"/>
          <w:highlight w:val="none"/>
        </w:rPr>
      </w:pPr>
      <w:r>
        <w:rPr>
          <w:rFonts w:hint="eastAsia"/>
          <w:color w:val="auto"/>
          <w:sz w:val="28"/>
          <w:szCs w:val="28"/>
          <w:highlight w:val="none"/>
        </w:rPr>
        <w:t>二、投标文件签署授权委托书</w:t>
      </w:r>
    </w:p>
    <w:p w14:paraId="7618DDA0">
      <w:pPr>
        <w:rPr>
          <w:color w:val="auto"/>
          <w:sz w:val="28"/>
          <w:szCs w:val="28"/>
          <w:highlight w:val="none"/>
        </w:rPr>
      </w:pPr>
      <w:r>
        <w:rPr>
          <w:rFonts w:hint="eastAsia"/>
          <w:color w:val="auto"/>
          <w:sz w:val="28"/>
          <w:szCs w:val="28"/>
          <w:highlight w:val="none"/>
        </w:rPr>
        <w:t>三、投标函</w:t>
      </w:r>
    </w:p>
    <w:p w14:paraId="7D157A0D">
      <w:pPr>
        <w:rPr>
          <w:rFonts w:hint="eastAsia"/>
          <w:color w:val="auto"/>
          <w:sz w:val="28"/>
          <w:szCs w:val="28"/>
          <w:highlight w:val="none"/>
        </w:rPr>
      </w:pPr>
      <w:r>
        <w:rPr>
          <w:rFonts w:hint="eastAsia"/>
          <w:color w:val="auto"/>
          <w:sz w:val="28"/>
          <w:szCs w:val="28"/>
          <w:highlight w:val="none"/>
        </w:rPr>
        <w:t>四、报价明细表</w:t>
      </w:r>
    </w:p>
    <w:p w14:paraId="72CA9712">
      <w:pPr>
        <w:rPr>
          <w:rFonts w:hint="eastAsia" w:ascii="宋体" w:hAnsi="宋体"/>
          <w:color w:val="auto"/>
          <w:sz w:val="24"/>
          <w:szCs w:val="24"/>
          <w:highlight w:val="none"/>
        </w:rPr>
      </w:pPr>
      <w:r>
        <w:rPr>
          <w:rFonts w:hint="eastAsia"/>
          <w:color w:val="auto"/>
          <w:sz w:val="28"/>
          <w:szCs w:val="28"/>
          <w:highlight w:val="none"/>
        </w:rPr>
        <w:t>五、资格审查资料</w:t>
      </w:r>
    </w:p>
    <w:p w14:paraId="5E3FD8C2">
      <w:pPr>
        <w:rPr>
          <w:rFonts w:hint="eastAsia" w:eastAsia="宋体"/>
          <w:color w:val="auto"/>
          <w:sz w:val="28"/>
          <w:szCs w:val="28"/>
          <w:highlight w:val="none"/>
          <w:lang w:eastAsia="zh-CN"/>
        </w:rPr>
      </w:pPr>
      <w:r>
        <w:rPr>
          <w:rFonts w:hint="eastAsia"/>
          <w:color w:val="auto"/>
          <w:sz w:val="28"/>
          <w:szCs w:val="28"/>
          <w:highlight w:val="none"/>
        </w:rPr>
        <w:t>六</w:t>
      </w:r>
      <w:r>
        <w:rPr>
          <w:rFonts w:hint="eastAsia" w:ascii="Times New Roman" w:hAnsi="Times New Roman" w:eastAsia="宋体" w:cs="Times New Roman"/>
          <w:color w:val="auto"/>
          <w:sz w:val="28"/>
          <w:szCs w:val="28"/>
          <w:highlight w:val="none"/>
        </w:rPr>
        <w:t>、中小企业声明函</w:t>
      </w:r>
      <w:r>
        <w:rPr>
          <w:rFonts w:hint="eastAsia"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货物</w:t>
      </w:r>
      <w:r>
        <w:rPr>
          <w:rFonts w:hint="eastAsia" w:ascii="Times New Roman" w:hAnsi="Times New Roman" w:eastAsia="宋体" w:cs="Times New Roman"/>
          <w:color w:val="auto"/>
          <w:sz w:val="28"/>
          <w:szCs w:val="28"/>
          <w:highlight w:val="none"/>
          <w:lang w:eastAsia="zh-CN"/>
        </w:rPr>
        <w:t>）</w:t>
      </w:r>
    </w:p>
    <w:p w14:paraId="00681116">
      <w:pPr>
        <w:rPr>
          <w:rFonts w:hint="eastAsia"/>
          <w:color w:val="auto"/>
          <w:sz w:val="28"/>
          <w:szCs w:val="28"/>
          <w:highlight w:val="none"/>
        </w:rPr>
      </w:pPr>
      <w:r>
        <w:rPr>
          <w:rFonts w:hint="eastAsia"/>
          <w:color w:val="auto"/>
          <w:sz w:val="28"/>
          <w:szCs w:val="28"/>
          <w:highlight w:val="none"/>
        </w:rPr>
        <w:t>七、投标承诺函</w:t>
      </w:r>
    </w:p>
    <w:p w14:paraId="4D98211B">
      <w:pPr>
        <w:rPr>
          <w:color w:val="auto"/>
          <w:sz w:val="28"/>
          <w:szCs w:val="28"/>
          <w:highlight w:val="none"/>
        </w:rPr>
      </w:pPr>
      <w:r>
        <w:rPr>
          <w:rFonts w:hint="eastAsia"/>
          <w:color w:val="auto"/>
          <w:sz w:val="28"/>
          <w:szCs w:val="28"/>
          <w:highlight w:val="none"/>
        </w:rPr>
        <w:t>八、其他资料</w:t>
      </w:r>
    </w:p>
    <w:p w14:paraId="77F38BF0">
      <w:pPr>
        <w:rPr>
          <w:rFonts w:hint="eastAsia"/>
          <w:color w:val="auto"/>
          <w:sz w:val="28"/>
          <w:szCs w:val="28"/>
          <w:highlight w:val="none"/>
        </w:rPr>
      </w:pPr>
    </w:p>
    <w:p w14:paraId="718FA8F0">
      <w:pPr>
        <w:rPr>
          <w:rFonts w:hint="eastAsia"/>
          <w:color w:val="auto"/>
          <w:sz w:val="28"/>
          <w:szCs w:val="28"/>
          <w:highlight w:val="none"/>
        </w:rPr>
      </w:pPr>
    </w:p>
    <w:p w14:paraId="0418AA7F">
      <w:pPr>
        <w:rPr>
          <w:rFonts w:hint="eastAsia"/>
          <w:color w:val="auto"/>
          <w:sz w:val="28"/>
          <w:szCs w:val="28"/>
          <w:highlight w:val="none"/>
        </w:rPr>
      </w:pPr>
    </w:p>
    <w:p w14:paraId="068F6A39">
      <w:pPr>
        <w:widowControl/>
        <w:shd w:val="clear" w:color="auto" w:fill="FFFFFF"/>
        <w:autoSpaceDN w:val="0"/>
        <w:spacing w:line="360" w:lineRule="auto"/>
        <w:jc w:val="center"/>
        <w:rPr>
          <w:rFonts w:hint="eastAsia" w:ascii="宋体" w:hAnsi="宋体" w:cs="宋体"/>
          <w:b/>
          <w:bCs/>
          <w:color w:val="auto"/>
          <w:sz w:val="30"/>
          <w:szCs w:val="30"/>
          <w:highlight w:val="none"/>
        </w:rPr>
      </w:pPr>
    </w:p>
    <w:p w14:paraId="2694F6C0">
      <w:pPr>
        <w:widowControl/>
        <w:shd w:val="clear" w:color="auto" w:fill="FFFFFF"/>
        <w:autoSpaceDN w:val="0"/>
        <w:spacing w:line="360" w:lineRule="auto"/>
        <w:jc w:val="center"/>
        <w:rPr>
          <w:rFonts w:hint="eastAsia" w:ascii="宋体" w:hAnsi="宋体" w:cs="宋体"/>
          <w:b/>
          <w:bCs/>
          <w:color w:val="auto"/>
          <w:sz w:val="30"/>
          <w:szCs w:val="30"/>
          <w:highlight w:val="none"/>
        </w:rPr>
      </w:pPr>
    </w:p>
    <w:p w14:paraId="6DBAAB37">
      <w:pPr>
        <w:widowControl/>
        <w:shd w:val="clear" w:color="auto" w:fill="FFFFFF"/>
        <w:autoSpaceDN w:val="0"/>
        <w:spacing w:line="360" w:lineRule="auto"/>
        <w:jc w:val="center"/>
        <w:rPr>
          <w:rFonts w:hint="eastAsia" w:ascii="宋体" w:hAnsi="宋体" w:cs="宋体"/>
          <w:b/>
          <w:bCs/>
          <w:color w:val="auto"/>
          <w:sz w:val="30"/>
          <w:szCs w:val="30"/>
          <w:highlight w:val="none"/>
        </w:rPr>
      </w:pPr>
    </w:p>
    <w:p w14:paraId="503FC107">
      <w:pPr>
        <w:widowControl/>
        <w:shd w:val="clear" w:color="auto" w:fill="FFFFFF"/>
        <w:autoSpaceDN w:val="0"/>
        <w:spacing w:line="360" w:lineRule="auto"/>
        <w:jc w:val="center"/>
        <w:rPr>
          <w:rFonts w:hint="eastAsia" w:ascii="宋体" w:hAnsi="宋体" w:cs="宋体"/>
          <w:b/>
          <w:bCs/>
          <w:color w:val="auto"/>
          <w:sz w:val="30"/>
          <w:szCs w:val="30"/>
          <w:highlight w:val="none"/>
        </w:rPr>
      </w:pPr>
    </w:p>
    <w:p w14:paraId="362F5570">
      <w:pPr>
        <w:widowControl/>
        <w:shd w:val="clear" w:color="auto" w:fill="FFFFFF"/>
        <w:autoSpaceDN w:val="0"/>
        <w:spacing w:line="360" w:lineRule="auto"/>
        <w:jc w:val="center"/>
        <w:rPr>
          <w:rFonts w:hint="eastAsia" w:ascii="宋体" w:hAnsi="宋体" w:cs="宋体"/>
          <w:b/>
          <w:bCs/>
          <w:color w:val="auto"/>
          <w:sz w:val="30"/>
          <w:szCs w:val="30"/>
          <w:highlight w:val="none"/>
        </w:rPr>
      </w:pPr>
    </w:p>
    <w:p w14:paraId="6D74FE1D">
      <w:pPr>
        <w:widowControl/>
        <w:shd w:val="clear" w:color="auto" w:fill="FFFFFF"/>
        <w:autoSpaceDN w:val="0"/>
        <w:spacing w:line="360" w:lineRule="auto"/>
        <w:jc w:val="center"/>
        <w:rPr>
          <w:rFonts w:hint="eastAsia" w:ascii="宋体" w:hAnsi="宋体" w:cs="宋体"/>
          <w:b/>
          <w:bCs/>
          <w:color w:val="auto"/>
          <w:sz w:val="30"/>
          <w:szCs w:val="30"/>
          <w:highlight w:val="none"/>
        </w:rPr>
      </w:pPr>
    </w:p>
    <w:p w14:paraId="4CF544F5">
      <w:pPr>
        <w:widowControl/>
        <w:shd w:val="clear" w:color="auto" w:fill="FFFFFF"/>
        <w:autoSpaceDN w:val="0"/>
        <w:spacing w:line="360" w:lineRule="auto"/>
        <w:jc w:val="center"/>
        <w:rPr>
          <w:rFonts w:hint="eastAsia" w:ascii="宋体" w:hAnsi="宋体" w:cs="宋体"/>
          <w:b/>
          <w:bCs/>
          <w:color w:val="auto"/>
          <w:sz w:val="30"/>
          <w:szCs w:val="30"/>
          <w:highlight w:val="none"/>
        </w:rPr>
      </w:pPr>
    </w:p>
    <w:p w14:paraId="515323C9">
      <w:pPr>
        <w:jc w:val="both"/>
        <w:rPr>
          <w:rFonts w:hint="eastAsia"/>
          <w:color w:val="auto"/>
          <w:sz w:val="32"/>
          <w:szCs w:val="32"/>
          <w:highlight w:val="none"/>
        </w:rPr>
      </w:pPr>
      <w:bookmarkStart w:id="154" w:name="_Toc223432389"/>
      <w:bookmarkStart w:id="155" w:name="_Toc169921409"/>
      <w:bookmarkStart w:id="156" w:name="_Toc171073044"/>
      <w:bookmarkStart w:id="157" w:name="_Toc171073209"/>
    </w:p>
    <w:p w14:paraId="7C18F94F">
      <w:pPr>
        <w:jc w:val="center"/>
        <w:rPr>
          <w:rFonts w:hint="eastAsia"/>
          <w:color w:val="auto"/>
          <w:sz w:val="32"/>
          <w:szCs w:val="32"/>
          <w:highlight w:val="none"/>
        </w:rPr>
      </w:pPr>
    </w:p>
    <w:p w14:paraId="79332BBC">
      <w:pPr>
        <w:jc w:val="center"/>
        <w:outlineLvl w:val="0"/>
        <w:rPr>
          <w:b/>
          <w:bCs/>
          <w:color w:val="auto"/>
          <w:sz w:val="32"/>
          <w:szCs w:val="32"/>
          <w:highlight w:val="none"/>
        </w:rPr>
      </w:pPr>
      <w:bookmarkStart w:id="158" w:name="_Toc7956"/>
      <w:bookmarkStart w:id="159" w:name="_Toc22927"/>
      <w:r>
        <w:rPr>
          <w:rFonts w:hint="eastAsia"/>
          <w:b/>
          <w:bCs/>
          <w:color w:val="auto"/>
          <w:sz w:val="32"/>
          <w:szCs w:val="32"/>
          <w:highlight w:val="none"/>
        </w:rPr>
        <w:t>一、法定代表人身份证明书</w:t>
      </w:r>
      <w:bookmarkEnd w:id="154"/>
      <w:bookmarkEnd w:id="155"/>
      <w:bookmarkEnd w:id="156"/>
      <w:bookmarkEnd w:id="157"/>
      <w:bookmarkEnd w:id="158"/>
      <w:bookmarkEnd w:id="159"/>
    </w:p>
    <w:p w14:paraId="1A2E43DD">
      <w:pPr>
        <w:spacing w:line="440" w:lineRule="exact"/>
        <w:rPr>
          <w:b/>
          <w:bCs/>
          <w:color w:val="auto"/>
          <w:sz w:val="32"/>
          <w:szCs w:val="32"/>
          <w:highlight w:val="none"/>
        </w:rPr>
      </w:pPr>
    </w:p>
    <w:p w14:paraId="457CE507">
      <w:pPr>
        <w:spacing w:line="480" w:lineRule="auto"/>
        <w:ind w:firstLine="612"/>
        <w:rPr>
          <w:color w:val="auto"/>
          <w:sz w:val="24"/>
          <w:szCs w:val="24"/>
          <w:highlight w:val="none"/>
        </w:rPr>
      </w:pPr>
      <w:r>
        <w:rPr>
          <w:rFonts w:hint="eastAsia" w:ascii="宋体" w:hAnsi="宋体" w:cs="宋体"/>
          <w:color w:val="auto"/>
          <w:sz w:val="24"/>
          <w:szCs w:val="24"/>
          <w:highlight w:val="none"/>
        </w:rPr>
        <w:t>单位名称：</w:t>
      </w:r>
      <w:r>
        <w:rPr>
          <w:color w:val="auto"/>
          <w:sz w:val="24"/>
          <w:szCs w:val="24"/>
          <w:highlight w:val="none"/>
          <w:u w:val="single"/>
        </w:rPr>
        <w:tab/>
      </w:r>
      <w:r>
        <w:rPr>
          <w:color w:val="auto"/>
          <w:sz w:val="24"/>
          <w:szCs w:val="24"/>
          <w:highlight w:val="none"/>
          <w:u w:val="single"/>
        </w:rPr>
        <w:tab/>
      </w:r>
      <w:r>
        <w:rPr>
          <w:color w:val="auto"/>
          <w:sz w:val="24"/>
          <w:szCs w:val="24"/>
          <w:highlight w:val="none"/>
          <w:u w:val="single"/>
        </w:rPr>
        <w:tab/>
      </w:r>
      <w:r>
        <w:rPr>
          <w:color w:val="auto"/>
          <w:sz w:val="24"/>
          <w:szCs w:val="24"/>
          <w:highlight w:val="none"/>
          <w:u w:val="single"/>
        </w:rPr>
        <w:tab/>
      </w:r>
      <w:r>
        <w:rPr>
          <w:color w:val="auto"/>
          <w:sz w:val="24"/>
          <w:szCs w:val="24"/>
          <w:highlight w:val="none"/>
          <w:u w:val="single"/>
        </w:rPr>
        <w:tab/>
      </w:r>
      <w:r>
        <w:rPr>
          <w:color w:val="auto"/>
          <w:sz w:val="24"/>
          <w:szCs w:val="24"/>
          <w:highlight w:val="none"/>
          <w:u w:val="single"/>
        </w:rPr>
        <w:tab/>
      </w:r>
      <w:r>
        <w:rPr>
          <w:color w:val="auto"/>
          <w:sz w:val="24"/>
          <w:szCs w:val="24"/>
          <w:highlight w:val="none"/>
          <w:u w:val="single"/>
        </w:rPr>
        <w:tab/>
      </w:r>
      <w:r>
        <w:rPr>
          <w:color w:val="auto"/>
          <w:sz w:val="24"/>
          <w:szCs w:val="24"/>
          <w:highlight w:val="none"/>
          <w:u w:val="single"/>
        </w:rPr>
        <w:tab/>
      </w:r>
      <w:r>
        <w:rPr>
          <w:color w:val="auto"/>
          <w:sz w:val="24"/>
          <w:szCs w:val="24"/>
          <w:highlight w:val="none"/>
          <w:u w:val="single"/>
        </w:rPr>
        <w:tab/>
      </w:r>
      <w:r>
        <w:rPr>
          <w:color w:val="auto"/>
          <w:sz w:val="24"/>
          <w:szCs w:val="24"/>
          <w:highlight w:val="none"/>
          <w:u w:val="single"/>
        </w:rPr>
        <w:tab/>
      </w:r>
    </w:p>
    <w:p w14:paraId="6FAE3915">
      <w:pPr>
        <w:spacing w:line="480" w:lineRule="auto"/>
        <w:ind w:firstLine="610"/>
        <w:rPr>
          <w:color w:val="auto"/>
          <w:sz w:val="24"/>
          <w:szCs w:val="24"/>
          <w:highlight w:val="none"/>
          <w:u w:val="single"/>
        </w:rPr>
      </w:pPr>
      <w:r>
        <w:rPr>
          <w:rFonts w:hint="eastAsia" w:ascii="宋体" w:hAnsi="宋体" w:cs="宋体"/>
          <w:color w:val="auto"/>
          <w:sz w:val="24"/>
          <w:szCs w:val="24"/>
          <w:highlight w:val="none"/>
        </w:rPr>
        <w:t>单位性质：</w:t>
      </w:r>
      <w:r>
        <w:rPr>
          <w:color w:val="auto"/>
          <w:sz w:val="24"/>
          <w:szCs w:val="24"/>
          <w:highlight w:val="none"/>
          <w:u w:val="single"/>
        </w:rPr>
        <w:tab/>
      </w:r>
      <w:r>
        <w:rPr>
          <w:color w:val="auto"/>
          <w:sz w:val="24"/>
          <w:szCs w:val="24"/>
          <w:highlight w:val="none"/>
          <w:u w:val="single"/>
        </w:rPr>
        <w:tab/>
      </w:r>
      <w:r>
        <w:rPr>
          <w:color w:val="auto"/>
          <w:sz w:val="24"/>
          <w:szCs w:val="24"/>
          <w:highlight w:val="none"/>
          <w:u w:val="single"/>
        </w:rPr>
        <w:tab/>
      </w:r>
      <w:r>
        <w:rPr>
          <w:color w:val="auto"/>
          <w:sz w:val="24"/>
          <w:szCs w:val="24"/>
          <w:highlight w:val="none"/>
          <w:u w:val="single"/>
        </w:rPr>
        <w:tab/>
      </w:r>
      <w:r>
        <w:rPr>
          <w:color w:val="auto"/>
          <w:sz w:val="24"/>
          <w:szCs w:val="24"/>
          <w:highlight w:val="none"/>
          <w:u w:val="single"/>
        </w:rPr>
        <w:tab/>
      </w:r>
      <w:r>
        <w:rPr>
          <w:color w:val="auto"/>
          <w:sz w:val="24"/>
          <w:szCs w:val="24"/>
          <w:highlight w:val="none"/>
          <w:u w:val="single"/>
        </w:rPr>
        <w:tab/>
      </w:r>
      <w:r>
        <w:rPr>
          <w:color w:val="auto"/>
          <w:sz w:val="24"/>
          <w:szCs w:val="24"/>
          <w:highlight w:val="none"/>
          <w:u w:val="single"/>
        </w:rPr>
        <w:tab/>
      </w:r>
      <w:r>
        <w:rPr>
          <w:color w:val="auto"/>
          <w:sz w:val="24"/>
          <w:szCs w:val="24"/>
          <w:highlight w:val="none"/>
          <w:u w:val="single"/>
        </w:rPr>
        <w:tab/>
      </w:r>
      <w:r>
        <w:rPr>
          <w:color w:val="auto"/>
          <w:sz w:val="24"/>
          <w:szCs w:val="24"/>
          <w:highlight w:val="none"/>
          <w:u w:val="single"/>
        </w:rPr>
        <w:tab/>
      </w:r>
      <w:r>
        <w:rPr>
          <w:color w:val="auto"/>
          <w:sz w:val="24"/>
          <w:szCs w:val="24"/>
          <w:highlight w:val="none"/>
          <w:u w:val="single"/>
        </w:rPr>
        <w:tab/>
      </w:r>
    </w:p>
    <w:p w14:paraId="4F44B902">
      <w:pPr>
        <w:spacing w:line="480" w:lineRule="auto"/>
        <w:ind w:firstLine="610"/>
        <w:rPr>
          <w:rFonts w:ascii="宋体"/>
          <w:color w:val="auto"/>
          <w:sz w:val="24"/>
          <w:szCs w:val="24"/>
          <w:highlight w:val="none"/>
          <w:u w:val="single"/>
        </w:rPr>
      </w:pPr>
      <w:r>
        <w:rPr>
          <w:rFonts w:hint="eastAsia" w:ascii="宋体" w:hAnsi="宋体" w:cs="宋体"/>
          <w:color w:val="auto"/>
          <w:sz w:val="24"/>
          <w:szCs w:val="24"/>
          <w:highlight w:val="none"/>
        </w:rPr>
        <w:t>地址：</w:t>
      </w:r>
      <w:r>
        <w:rPr>
          <w:color w:val="auto"/>
          <w:sz w:val="24"/>
          <w:szCs w:val="24"/>
          <w:highlight w:val="none"/>
          <w:u w:val="single"/>
        </w:rPr>
        <w:tab/>
      </w:r>
      <w:r>
        <w:rPr>
          <w:color w:val="auto"/>
          <w:sz w:val="24"/>
          <w:szCs w:val="24"/>
          <w:highlight w:val="none"/>
          <w:u w:val="single"/>
        </w:rPr>
        <w:tab/>
      </w:r>
      <w:r>
        <w:rPr>
          <w:rFonts w:ascii="宋体"/>
          <w:color w:val="auto"/>
          <w:sz w:val="24"/>
          <w:szCs w:val="24"/>
          <w:highlight w:val="none"/>
          <w:u w:val="single"/>
        </w:rPr>
        <w:tab/>
      </w:r>
      <w:r>
        <w:rPr>
          <w:rFonts w:ascii="宋体"/>
          <w:color w:val="auto"/>
          <w:sz w:val="24"/>
          <w:szCs w:val="24"/>
          <w:highlight w:val="none"/>
          <w:u w:val="single"/>
        </w:rPr>
        <w:tab/>
      </w:r>
      <w:r>
        <w:rPr>
          <w:rFonts w:ascii="宋体"/>
          <w:color w:val="auto"/>
          <w:sz w:val="24"/>
          <w:szCs w:val="24"/>
          <w:highlight w:val="none"/>
          <w:u w:val="single"/>
        </w:rPr>
        <w:tab/>
      </w:r>
      <w:r>
        <w:rPr>
          <w:rFonts w:ascii="宋体"/>
          <w:color w:val="auto"/>
          <w:sz w:val="24"/>
          <w:szCs w:val="24"/>
          <w:highlight w:val="none"/>
          <w:u w:val="single"/>
        </w:rPr>
        <w:tab/>
      </w:r>
      <w:r>
        <w:rPr>
          <w:rFonts w:ascii="宋体"/>
          <w:color w:val="auto"/>
          <w:sz w:val="24"/>
          <w:szCs w:val="24"/>
          <w:highlight w:val="none"/>
          <w:u w:val="single"/>
        </w:rPr>
        <w:tab/>
      </w:r>
      <w:r>
        <w:rPr>
          <w:rFonts w:ascii="宋体"/>
          <w:color w:val="auto"/>
          <w:sz w:val="24"/>
          <w:szCs w:val="24"/>
          <w:highlight w:val="none"/>
          <w:u w:val="single"/>
        </w:rPr>
        <w:tab/>
      </w:r>
      <w:r>
        <w:rPr>
          <w:rFonts w:hint="eastAsia" w:ascii="宋体"/>
          <w:color w:val="auto"/>
          <w:sz w:val="24"/>
          <w:szCs w:val="24"/>
          <w:highlight w:val="none"/>
          <w:u w:val="single"/>
        </w:rPr>
        <w:t xml:space="preserve">       </w:t>
      </w:r>
      <w:r>
        <w:rPr>
          <w:rFonts w:ascii="宋体"/>
          <w:color w:val="auto"/>
          <w:sz w:val="24"/>
          <w:szCs w:val="24"/>
          <w:highlight w:val="none"/>
          <w:u w:val="single"/>
        </w:rPr>
        <w:tab/>
      </w:r>
    </w:p>
    <w:p w14:paraId="04AB7459">
      <w:pPr>
        <w:spacing w:line="480" w:lineRule="auto"/>
        <w:ind w:firstLine="610"/>
        <w:rPr>
          <w:color w:val="auto"/>
          <w:sz w:val="24"/>
          <w:szCs w:val="24"/>
          <w:highlight w:val="none"/>
        </w:rPr>
      </w:pPr>
      <w:r>
        <w:rPr>
          <w:rFonts w:hint="eastAsia" w:ascii="宋体" w:hAnsi="宋体" w:cs="宋体"/>
          <w:color w:val="auto"/>
          <w:sz w:val="24"/>
          <w:szCs w:val="24"/>
          <w:highlight w:val="none"/>
        </w:rPr>
        <w:t>成立时间：   年   月   日</w:t>
      </w:r>
    </w:p>
    <w:p w14:paraId="38D1D9EB">
      <w:pPr>
        <w:spacing w:line="480" w:lineRule="auto"/>
        <w:ind w:firstLine="610"/>
        <w:rPr>
          <w:rFonts w:ascii="宋体"/>
          <w:color w:val="auto"/>
          <w:sz w:val="24"/>
          <w:szCs w:val="24"/>
          <w:highlight w:val="none"/>
          <w:u w:val="single"/>
        </w:rPr>
      </w:pPr>
      <w:r>
        <w:rPr>
          <w:rFonts w:hint="eastAsia" w:ascii="宋体" w:hAnsi="宋体" w:cs="宋体"/>
          <w:color w:val="auto"/>
          <w:sz w:val="24"/>
          <w:szCs w:val="24"/>
          <w:highlight w:val="none"/>
        </w:rPr>
        <w:t>经营期限：</w:t>
      </w:r>
      <w:r>
        <w:rPr>
          <w:color w:val="auto"/>
          <w:sz w:val="24"/>
          <w:szCs w:val="24"/>
          <w:highlight w:val="none"/>
          <w:u w:val="single"/>
        </w:rPr>
        <w:tab/>
      </w:r>
      <w:r>
        <w:rPr>
          <w:rFonts w:hint="eastAsia"/>
          <w:color w:val="auto"/>
          <w:sz w:val="24"/>
          <w:szCs w:val="24"/>
          <w:highlight w:val="none"/>
          <w:u w:val="single"/>
        </w:rPr>
        <w:t xml:space="preserve">                            </w:t>
      </w:r>
      <w:r>
        <w:rPr>
          <w:rFonts w:ascii="宋体"/>
          <w:color w:val="auto"/>
          <w:sz w:val="24"/>
          <w:szCs w:val="24"/>
          <w:highlight w:val="none"/>
          <w:u w:val="single"/>
        </w:rPr>
        <w:tab/>
      </w:r>
    </w:p>
    <w:p w14:paraId="6EE30497">
      <w:pPr>
        <w:spacing w:line="480" w:lineRule="auto"/>
        <w:ind w:firstLine="610"/>
        <w:rPr>
          <w:rFonts w:ascii="宋体"/>
          <w:color w:val="auto"/>
          <w:sz w:val="24"/>
          <w:szCs w:val="24"/>
          <w:highlight w:val="none"/>
          <w:u w:val="single"/>
        </w:rPr>
      </w:pPr>
      <w:r>
        <w:rPr>
          <w:rFonts w:hint="eastAsia" w:ascii="宋体" w:hAnsi="宋体" w:cs="宋体"/>
          <w:color w:val="auto"/>
          <w:sz w:val="24"/>
          <w:szCs w:val="24"/>
          <w:highlight w:val="none"/>
        </w:rPr>
        <w:t>姓名：</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性别：</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年龄：</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职务：</w:t>
      </w:r>
      <w:r>
        <w:rPr>
          <w:color w:val="auto"/>
          <w:sz w:val="24"/>
          <w:szCs w:val="24"/>
          <w:highlight w:val="none"/>
          <w:u w:val="single"/>
        </w:rPr>
        <w:tab/>
      </w:r>
      <w:r>
        <w:rPr>
          <w:rFonts w:hint="eastAsia"/>
          <w:color w:val="auto"/>
          <w:sz w:val="24"/>
          <w:szCs w:val="24"/>
          <w:highlight w:val="none"/>
          <w:u w:val="single"/>
        </w:rPr>
        <w:t xml:space="preserve">    </w:t>
      </w:r>
    </w:p>
    <w:p w14:paraId="4645512E">
      <w:pPr>
        <w:spacing w:line="480" w:lineRule="auto"/>
        <w:ind w:firstLine="610"/>
        <w:rPr>
          <w:color w:val="auto"/>
          <w:sz w:val="24"/>
          <w:szCs w:val="24"/>
          <w:highlight w:val="none"/>
        </w:rPr>
      </w:pPr>
      <w:r>
        <w:rPr>
          <w:rFonts w:hint="eastAsia" w:ascii="宋体" w:hAnsi="宋体" w:cs="宋体"/>
          <w:color w:val="auto"/>
          <w:sz w:val="24"/>
          <w:szCs w:val="24"/>
          <w:highlight w:val="none"/>
        </w:rPr>
        <w:t>系</w:t>
      </w:r>
      <w:r>
        <w:rPr>
          <w:rFonts w:hint="eastAsia" w:ascii="宋体" w:hAnsi="宋体" w:cs="宋体"/>
          <w:color w:val="auto"/>
          <w:sz w:val="24"/>
          <w:szCs w:val="24"/>
          <w:highlight w:val="none"/>
          <w:u w:val="single"/>
        </w:rPr>
        <w:t>（投标供应商单位名称）</w:t>
      </w:r>
      <w:r>
        <w:rPr>
          <w:rFonts w:hint="eastAsia" w:ascii="宋体" w:hAnsi="宋体" w:cs="宋体"/>
          <w:color w:val="auto"/>
          <w:sz w:val="24"/>
          <w:szCs w:val="24"/>
          <w:highlight w:val="none"/>
        </w:rPr>
        <w:t>的法定代表人。</w:t>
      </w:r>
    </w:p>
    <w:p w14:paraId="2A387A13">
      <w:pPr>
        <w:spacing w:line="480" w:lineRule="auto"/>
        <w:ind w:firstLine="610"/>
        <w:rPr>
          <w:color w:val="auto"/>
          <w:sz w:val="24"/>
          <w:szCs w:val="24"/>
          <w:highlight w:val="none"/>
        </w:rPr>
      </w:pPr>
    </w:p>
    <w:p w14:paraId="2D622566">
      <w:pPr>
        <w:spacing w:line="480" w:lineRule="auto"/>
        <w:ind w:firstLine="1089" w:firstLineChars="454"/>
        <w:rPr>
          <w:color w:val="auto"/>
          <w:sz w:val="24"/>
          <w:szCs w:val="24"/>
          <w:highlight w:val="none"/>
        </w:rPr>
      </w:pPr>
      <w:r>
        <w:rPr>
          <w:rFonts w:hint="eastAsia" w:ascii="宋体" w:hAnsi="宋体" w:cs="宋体"/>
          <w:color w:val="auto"/>
          <w:sz w:val="24"/>
          <w:szCs w:val="24"/>
          <w:highlight w:val="none"/>
        </w:rPr>
        <w:t>特此证明。</w:t>
      </w:r>
    </w:p>
    <w:p w14:paraId="4D126920">
      <w:pPr>
        <w:tabs>
          <w:tab w:val="left" w:pos="720"/>
          <w:tab w:val="left" w:pos="900"/>
        </w:tabs>
        <w:spacing w:line="480" w:lineRule="auto"/>
        <w:ind w:firstLine="5040" w:firstLineChars="2100"/>
        <w:rPr>
          <w:color w:val="auto"/>
          <w:sz w:val="24"/>
          <w:szCs w:val="24"/>
          <w:highlight w:val="none"/>
        </w:rPr>
      </w:pPr>
    </w:p>
    <w:p w14:paraId="5D985C1F">
      <w:pPr>
        <w:wordWrap w:val="0"/>
        <w:spacing w:line="520" w:lineRule="exact"/>
        <w:ind w:firstLine="2400" w:firstLineChars="1000"/>
        <w:rPr>
          <w:rFonts w:hint="eastAsia" w:ascii="宋体" w:hAnsi="宋体"/>
          <w:color w:val="auto"/>
          <w:sz w:val="24"/>
          <w:highlight w:val="none"/>
          <w:u w:val="single"/>
        </w:rPr>
      </w:pPr>
      <w:r>
        <w:rPr>
          <w:rFonts w:hint="eastAsia" w:ascii="宋体" w:hAnsi="宋体"/>
          <w:color w:val="auto"/>
          <w:sz w:val="24"/>
          <w:highlight w:val="none"/>
        </w:rPr>
        <w:t xml:space="preserve">             投标供应商（盖章）：</w:t>
      </w:r>
      <w:r>
        <w:rPr>
          <w:rFonts w:hint="eastAsia" w:ascii="宋体" w:hAnsi="宋体"/>
          <w:color w:val="auto"/>
          <w:sz w:val="24"/>
          <w:highlight w:val="none"/>
          <w:u w:val="single"/>
        </w:rPr>
        <w:t xml:space="preserve">               </w:t>
      </w:r>
    </w:p>
    <w:p w14:paraId="724A3737">
      <w:pPr>
        <w:spacing w:line="520" w:lineRule="exact"/>
        <w:ind w:firstLine="480" w:firstLineChars="200"/>
        <w:rPr>
          <w:rFonts w:hint="eastAsia" w:ascii="宋体" w:hAnsi="宋体"/>
          <w:color w:val="auto"/>
          <w:sz w:val="24"/>
          <w:highlight w:val="none"/>
          <w:u w:val="single"/>
        </w:rPr>
      </w:pPr>
      <w:r>
        <w:rPr>
          <w:rFonts w:hint="eastAsia" w:ascii="宋体" w:hAnsi="宋体"/>
          <w:color w:val="auto"/>
          <w:sz w:val="24"/>
          <w:highlight w:val="none"/>
        </w:rPr>
        <w:t xml:space="preserve">                             法定代表人（签章）： </w:t>
      </w:r>
      <w:r>
        <w:rPr>
          <w:rFonts w:hint="eastAsia" w:ascii="宋体" w:hAnsi="宋体"/>
          <w:color w:val="auto"/>
          <w:sz w:val="24"/>
          <w:highlight w:val="none"/>
          <w:u w:val="single"/>
        </w:rPr>
        <w:t xml:space="preserve">              </w:t>
      </w:r>
    </w:p>
    <w:p w14:paraId="7F3BEE6B">
      <w:pPr>
        <w:spacing w:line="520" w:lineRule="exact"/>
        <w:ind w:firstLine="480" w:firstLineChars="200"/>
        <w:rPr>
          <w:rFonts w:hint="eastAsia" w:ascii="宋体" w:hAnsi="宋体"/>
          <w:color w:val="auto"/>
          <w:sz w:val="24"/>
          <w:highlight w:val="none"/>
        </w:rPr>
      </w:pPr>
      <w:r>
        <w:rPr>
          <w:rFonts w:ascii="宋体" w:hAnsi="宋体"/>
          <w:color w:val="auto"/>
          <w:sz w:val="24"/>
          <w:highlight w:val="none"/>
        </w:rPr>
        <w:t xml:space="preserve">                </w:t>
      </w:r>
      <w:r>
        <w:rPr>
          <w:rFonts w:hint="eastAsia" w:ascii="宋体" w:hAnsi="宋体"/>
          <w:color w:val="auto"/>
          <w:sz w:val="24"/>
          <w:highlight w:val="none"/>
        </w:rPr>
        <w:t xml:space="preserve">             日   期：</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rPr>
        <w:t>年</w:t>
      </w: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rPr>
        <w:t>日</w:t>
      </w:r>
      <w:bookmarkStart w:id="160" w:name="_Toc169921410"/>
      <w:bookmarkStart w:id="161" w:name="_Toc171073045"/>
      <w:bookmarkStart w:id="162" w:name="_Toc171073210"/>
      <w:bookmarkStart w:id="163" w:name="_Toc223432390"/>
    </w:p>
    <w:p w14:paraId="1D4021E8">
      <w:pPr>
        <w:spacing w:line="520" w:lineRule="exact"/>
        <w:rPr>
          <w:rFonts w:hint="eastAsia" w:ascii="宋体" w:hAnsi="宋体"/>
          <w:color w:val="auto"/>
          <w:sz w:val="24"/>
          <w:highlight w:val="none"/>
        </w:rPr>
      </w:pPr>
    </w:p>
    <w:tbl>
      <w:tblPr>
        <w:tblStyle w:val="18"/>
        <w:tblW w:w="0" w:type="auto"/>
        <w:tblInd w:w="8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6"/>
      </w:tblGrid>
      <w:tr w14:paraId="28DD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5" w:hRule="atLeast"/>
        </w:trPr>
        <w:tc>
          <w:tcPr>
            <w:tcW w:w="8340" w:type="dxa"/>
            <w:noWrap w:val="0"/>
            <w:vAlign w:val="center"/>
          </w:tcPr>
          <w:p w14:paraId="5310D99D">
            <w:pPr>
              <w:jc w:val="center"/>
              <w:rPr>
                <w:rFonts w:hint="eastAsia" w:ascii="宋体" w:hAnsi="宋体"/>
                <w:color w:val="auto"/>
                <w:sz w:val="28"/>
                <w:highlight w:val="none"/>
              </w:rPr>
            </w:pPr>
            <w:r>
              <w:rPr>
                <w:rFonts w:hint="eastAsia" w:ascii="宋体" w:hAnsi="宋体"/>
                <w:color w:val="auto"/>
                <w:kern w:val="0"/>
                <w:sz w:val="28"/>
                <w:szCs w:val="28"/>
                <w:highlight w:val="none"/>
              </w:rPr>
              <w:t>法定代表人身份证复印件（或扫描件）</w:t>
            </w:r>
          </w:p>
        </w:tc>
      </w:tr>
    </w:tbl>
    <w:p w14:paraId="068E732B">
      <w:pPr>
        <w:jc w:val="center"/>
        <w:outlineLvl w:val="0"/>
        <w:rPr>
          <w:rFonts w:hint="eastAsia" w:ascii="Times New Roman" w:hAnsi="Times New Roman" w:eastAsia="宋体" w:cs="Times New Roman"/>
          <w:b/>
          <w:bCs/>
          <w:color w:val="auto"/>
          <w:sz w:val="32"/>
          <w:szCs w:val="32"/>
          <w:highlight w:val="none"/>
        </w:rPr>
      </w:pPr>
      <w:bookmarkStart w:id="164" w:name="_Toc20322"/>
      <w:bookmarkStart w:id="165" w:name="_Toc5384"/>
      <w:r>
        <w:rPr>
          <w:rFonts w:hint="eastAsia" w:ascii="Times New Roman" w:hAnsi="Times New Roman" w:eastAsia="宋体" w:cs="Times New Roman"/>
          <w:b/>
          <w:bCs/>
          <w:color w:val="auto"/>
          <w:sz w:val="32"/>
          <w:szCs w:val="32"/>
          <w:highlight w:val="none"/>
        </w:rPr>
        <w:t>二、投标文件签署授权委托书</w:t>
      </w:r>
      <w:bookmarkEnd w:id="160"/>
      <w:bookmarkEnd w:id="161"/>
      <w:bookmarkEnd w:id="162"/>
      <w:bookmarkEnd w:id="163"/>
      <w:bookmarkEnd w:id="164"/>
      <w:bookmarkEnd w:id="165"/>
    </w:p>
    <w:p w14:paraId="448350BB">
      <w:pPr>
        <w:rPr>
          <w:rFonts w:hint="eastAsia"/>
          <w:color w:val="auto"/>
          <w:highlight w:val="none"/>
        </w:rPr>
      </w:pPr>
    </w:p>
    <w:p w14:paraId="0A797354">
      <w:pPr>
        <w:tabs>
          <w:tab w:val="left" w:pos="3240"/>
        </w:tabs>
        <w:spacing w:line="480" w:lineRule="auto"/>
        <w:ind w:firstLine="612"/>
        <w:rPr>
          <w:color w:val="auto"/>
          <w:sz w:val="24"/>
          <w:szCs w:val="24"/>
          <w:highlight w:val="none"/>
        </w:rPr>
      </w:pPr>
      <w:r>
        <w:rPr>
          <w:rFonts w:hint="eastAsia" w:ascii="宋体" w:hAnsi="宋体" w:cs="宋体"/>
          <w:color w:val="auto"/>
          <w:sz w:val="24"/>
          <w:szCs w:val="24"/>
          <w:highlight w:val="none"/>
        </w:rPr>
        <w:t>本授权委托书声明：我</w:t>
      </w:r>
      <w:r>
        <w:rPr>
          <w:rFonts w:hint="eastAsia" w:ascii="宋体" w:hAnsi="宋体" w:cs="宋体"/>
          <w:color w:val="auto"/>
          <w:sz w:val="24"/>
          <w:szCs w:val="24"/>
          <w:highlight w:val="none"/>
          <w:u w:val="single"/>
        </w:rPr>
        <w:t>（法定代表人）</w:t>
      </w:r>
      <w:r>
        <w:rPr>
          <w:rFonts w:hint="eastAsia" w:ascii="宋体" w:hAnsi="宋体" w:cs="宋体"/>
          <w:color w:val="auto"/>
          <w:sz w:val="24"/>
          <w:szCs w:val="24"/>
          <w:highlight w:val="none"/>
        </w:rPr>
        <w:t>（姓名）系</w:t>
      </w:r>
      <w:r>
        <w:rPr>
          <w:rFonts w:hint="eastAsia" w:ascii="宋体" w:hAnsi="宋体" w:cs="宋体"/>
          <w:color w:val="auto"/>
          <w:sz w:val="24"/>
          <w:szCs w:val="24"/>
          <w:highlight w:val="none"/>
          <w:u w:val="single"/>
        </w:rPr>
        <w:t>（投标人名称）</w:t>
      </w:r>
      <w:r>
        <w:rPr>
          <w:rFonts w:hint="eastAsia" w:ascii="宋体" w:hAnsi="宋体" w:cs="宋体"/>
          <w:color w:val="auto"/>
          <w:sz w:val="24"/>
          <w:szCs w:val="24"/>
          <w:highlight w:val="none"/>
        </w:rPr>
        <w:t>的法定代表人，现授权委托</w:t>
      </w:r>
      <w:r>
        <w:rPr>
          <w:rFonts w:hint="eastAsia" w:ascii="宋体" w:hAnsi="宋体" w:cs="宋体"/>
          <w:color w:val="auto"/>
          <w:sz w:val="24"/>
          <w:szCs w:val="24"/>
          <w:highlight w:val="none"/>
          <w:u w:val="single"/>
        </w:rPr>
        <w:t>（单位名称）</w:t>
      </w:r>
      <w:r>
        <w:rPr>
          <w:rFonts w:hint="eastAsia" w:ascii="宋体" w:hAnsi="宋体" w:cs="宋体"/>
          <w:color w:val="auto"/>
          <w:sz w:val="24"/>
          <w:szCs w:val="24"/>
          <w:highlight w:val="none"/>
        </w:rPr>
        <w:t>的</w:t>
      </w:r>
      <w:r>
        <w:rPr>
          <w:rFonts w:hint="eastAsia" w:ascii="宋体" w:hAnsi="宋体" w:cs="宋体"/>
          <w:color w:val="auto"/>
          <w:sz w:val="24"/>
          <w:szCs w:val="24"/>
          <w:highlight w:val="none"/>
          <w:u w:val="single"/>
        </w:rPr>
        <w:t>（姓名）</w:t>
      </w:r>
      <w:r>
        <w:rPr>
          <w:rFonts w:hint="eastAsia" w:ascii="宋体" w:hAnsi="宋体" w:cs="宋体"/>
          <w:color w:val="auto"/>
          <w:sz w:val="24"/>
          <w:szCs w:val="24"/>
          <w:highlight w:val="none"/>
        </w:rPr>
        <w:t>为我公司签署本项目的投标文件的法定代表人授权委托代理人，我承认代理人全权代表我所签署的</w:t>
      </w:r>
      <w:r>
        <w:rPr>
          <w:rFonts w:hint="eastAsia" w:ascii="宋体" w:hAnsi="宋体" w:cs="宋体"/>
          <w:color w:val="auto"/>
          <w:sz w:val="24"/>
          <w:szCs w:val="24"/>
          <w:highlight w:val="none"/>
          <w:u w:val="single"/>
        </w:rPr>
        <w:t xml:space="preserve">  （项目名称）  </w:t>
      </w:r>
      <w:r>
        <w:rPr>
          <w:rFonts w:hint="eastAsia" w:ascii="宋体" w:hAnsi="宋体" w:cs="宋体"/>
          <w:color w:val="auto"/>
          <w:sz w:val="24"/>
          <w:szCs w:val="24"/>
          <w:highlight w:val="none"/>
        </w:rPr>
        <w:t>项目的投标文件的内容。同时授权委托该同志代表我公司参加本项目的投标、开标、合同谈判、处理有关事务等并有权签署有关文件。</w:t>
      </w:r>
    </w:p>
    <w:p w14:paraId="1456788F">
      <w:pPr>
        <w:spacing w:line="480" w:lineRule="auto"/>
        <w:ind w:firstLine="697"/>
        <w:rPr>
          <w:color w:val="auto"/>
          <w:sz w:val="24"/>
          <w:szCs w:val="24"/>
          <w:highlight w:val="none"/>
        </w:rPr>
      </w:pPr>
      <w:r>
        <w:rPr>
          <w:rFonts w:hint="eastAsia" w:ascii="宋体" w:hAnsi="宋体" w:cs="宋体"/>
          <w:color w:val="auto"/>
          <w:sz w:val="24"/>
          <w:szCs w:val="24"/>
          <w:highlight w:val="none"/>
        </w:rPr>
        <w:t>代理人无转委托权，特此委托。</w:t>
      </w:r>
    </w:p>
    <w:p w14:paraId="0D3885D6">
      <w:pPr>
        <w:spacing w:line="480" w:lineRule="auto"/>
        <w:ind w:firstLine="4320" w:firstLineChars="1800"/>
        <w:rPr>
          <w:rFonts w:hint="default" w:eastAsia="宋体"/>
          <w:color w:val="auto"/>
          <w:sz w:val="24"/>
          <w:szCs w:val="24"/>
          <w:highlight w:val="none"/>
          <w:lang w:val="en-US" w:eastAsia="zh-CN"/>
        </w:rPr>
      </w:pPr>
      <w:r>
        <w:rPr>
          <w:rFonts w:hint="eastAsia" w:ascii="宋体" w:hAnsi="宋体" w:cs="宋体"/>
          <w:color w:val="auto"/>
          <w:sz w:val="24"/>
          <w:szCs w:val="24"/>
          <w:highlight w:val="none"/>
        </w:rPr>
        <w:t>投标供应商：</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（盖章）</w:t>
      </w:r>
      <w:r>
        <w:rPr>
          <w:rFonts w:hint="eastAsia" w:ascii="宋体" w:hAnsi="宋体" w:cs="宋体"/>
          <w:color w:val="auto"/>
          <w:sz w:val="24"/>
          <w:szCs w:val="24"/>
          <w:highlight w:val="none"/>
          <w:u w:val="single"/>
          <w:lang w:val="en-US" w:eastAsia="zh-CN"/>
        </w:rPr>
        <w:t xml:space="preserve">     </w:t>
      </w:r>
    </w:p>
    <w:p w14:paraId="0BEEC919">
      <w:pPr>
        <w:spacing w:line="480" w:lineRule="auto"/>
        <w:ind w:firstLine="4320" w:firstLineChars="1800"/>
        <w:rPr>
          <w:rFonts w:hint="default" w:ascii="宋体" w:hAnsi="宋体" w:eastAsia="宋体" w:cs="宋体"/>
          <w:color w:val="auto"/>
          <w:sz w:val="24"/>
          <w:szCs w:val="24"/>
          <w:highlight w:val="none"/>
          <w:u w:val="single"/>
          <w:lang w:val="en-US" w:eastAsia="zh-CN"/>
        </w:rPr>
      </w:pPr>
      <w:r>
        <w:rPr>
          <w:rFonts w:hint="eastAsia" w:ascii="宋体" w:hAnsi="宋体" w:cs="宋体"/>
          <w:color w:val="auto"/>
          <w:sz w:val="24"/>
          <w:szCs w:val="24"/>
          <w:highlight w:val="none"/>
        </w:rPr>
        <w:t>法定代表人：</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（签章）</w:t>
      </w:r>
      <w:r>
        <w:rPr>
          <w:rFonts w:hint="eastAsia" w:ascii="宋体" w:hAnsi="宋体" w:cs="宋体"/>
          <w:color w:val="auto"/>
          <w:sz w:val="24"/>
          <w:szCs w:val="24"/>
          <w:highlight w:val="none"/>
          <w:u w:val="single"/>
          <w:lang w:val="en-US" w:eastAsia="zh-CN"/>
        </w:rPr>
        <w:t xml:space="preserve">     </w:t>
      </w:r>
    </w:p>
    <w:p w14:paraId="449F753F">
      <w:pPr>
        <w:spacing w:line="480" w:lineRule="auto"/>
        <w:ind w:firstLine="4320" w:firstLineChars="1800"/>
        <w:rPr>
          <w:rFonts w:hint="default" w:ascii="宋体" w:eastAsia="宋体"/>
          <w:color w:val="auto"/>
          <w:sz w:val="24"/>
          <w:szCs w:val="24"/>
          <w:highlight w:val="none"/>
          <w:u w:val="single"/>
          <w:lang w:val="en-US" w:eastAsia="zh-CN"/>
        </w:rPr>
      </w:pPr>
      <w:r>
        <w:rPr>
          <w:rFonts w:hint="eastAsia" w:ascii="宋体" w:hAnsi="宋体" w:cs="宋体"/>
          <w:color w:val="auto"/>
          <w:sz w:val="24"/>
          <w:szCs w:val="24"/>
          <w:highlight w:val="none"/>
        </w:rPr>
        <w:t>代理人（签字）：</w:t>
      </w:r>
      <w:r>
        <w:rPr>
          <w:rFonts w:hint="eastAsia" w:ascii="宋体" w:hAnsi="宋体" w:cs="宋体"/>
          <w:color w:val="auto"/>
          <w:sz w:val="24"/>
          <w:szCs w:val="24"/>
          <w:highlight w:val="none"/>
          <w:u w:val="single"/>
          <w:lang w:val="en-US" w:eastAsia="zh-CN"/>
        </w:rPr>
        <w:t xml:space="preserve">                  </w:t>
      </w:r>
    </w:p>
    <w:p w14:paraId="42A0F84E">
      <w:pPr>
        <w:spacing w:line="480" w:lineRule="auto"/>
        <w:ind w:firstLine="4320" w:firstLineChars="1800"/>
        <w:rPr>
          <w:rFonts w:hint="eastAsia" w:ascii="宋体" w:hAnsi="宋体" w:cs="宋体"/>
          <w:color w:val="auto"/>
          <w:sz w:val="24"/>
          <w:szCs w:val="24"/>
          <w:highlight w:val="none"/>
          <w:u w:val="single"/>
          <w:lang w:val="en-US" w:eastAsia="zh-CN"/>
        </w:rPr>
      </w:pPr>
      <w:r>
        <w:rPr>
          <w:rFonts w:hint="eastAsia" w:ascii="宋体" w:hAnsi="宋体" w:cs="宋体"/>
          <w:color w:val="auto"/>
          <w:sz w:val="24"/>
          <w:szCs w:val="24"/>
          <w:highlight w:val="none"/>
        </w:rPr>
        <w:t>身份证号码：</w:t>
      </w:r>
      <w:r>
        <w:rPr>
          <w:rFonts w:hint="eastAsia" w:ascii="宋体" w:hAnsi="宋体" w:cs="宋体"/>
          <w:color w:val="auto"/>
          <w:sz w:val="24"/>
          <w:szCs w:val="24"/>
          <w:highlight w:val="none"/>
          <w:u w:val="single"/>
          <w:lang w:val="en-US" w:eastAsia="zh-CN"/>
        </w:rPr>
        <w:t xml:space="preserve">                      </w:t>
      </w:r>
    </w:p>
    <w:p w14:paraId="0D21A1A9">
      <w:pPr>
        <w:spacing w:line="480" w:lineRule="auto"/>
        <w:ind w:firstLine="4320" w:firstLineChars="1800"/>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联系电话：</w:t>
      </w:r>
      <w:r>
        <w:rPr>
          <w:rFonts w:hint="eastAsia" w:ascii="宋体" w:hAnsi="宋体" w:eastAsia="宋体" w:cs="宋体"/>
          <w:color w:val="auto"/>
          <w:sz w:val="24"/>
          <w:szCs w:val="24"/>
          <w:highlight w:val="none"/>
          <w:u w:val="single"/>
          <w:lang w:val="en-US" w:eastAsia="zh-CN"/>
        </w:rPr>
        <w:t xml:space="preserve">                        </w:t>
      </w:r>
    </w:p>
    <w:p w14:paraId="096B5ED9">
      <w:pPr>
        <w:spacing w:line="480" w:lineRule="auto"/>
        <w:ind w:firstLine="4320" w:firstLineChars="1800"/>
        <w:rPr>
          <w:rFonts w:hint="eastAsia" w:ascii="宋体" w:hAnsi="宋体" w:cs="宋体"/>
          <w:color w:val="auto"/>
          <w:sz w:val="24"/>
          <w:szCs w:val="24"/>
          <w:highlight w:val="none"/>
        </w:rPr>
      </w:pPr>
      <w:r>
        <w:rPr>
          <w:rFonts w:hint="eastAsia" w:ascii="宋体" w:hAnsi="宋体" w:cs="宋体"/>
          <w:color w:val="auto"/>
          <w:sz w:val="24"/>
          <w:szCs w:val="24"/>
          <w:highlight w:val="none"/>
        </w:rPr>
        <w:t>授权委托日期：    年   月   日</w:t>
      </w:r>
    </w:p>
    <w:p w14:paraId="0C2BBE81">
      <w:pPr>
        <w:rPr>
          <w:color w:val="auto"/>
          <w:highlight w:val="none"/>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0"/>
      </w:tblGrid>
      <w:tr w14:paraId="052EC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6" w:hRule="atLeast"/>
          <w:jc w:val="center"/>
        </w:trPr>
        <w:tc>
          <w:tcPr>
            <w:tcW w:w="7720" w:type="dxa"/>
            <w:noWrap w:val="0"/>
            <w:vAlign w:val="center"/>
          </w:tcPr>
          <w:p w14:paraId="4B6F893F">
            <w:pPr>
              <w:jc w:val="center"/>
              <w:rPr>
                <w:color w:val="auto"/>
                <w:highlight w:val="none"/>
              </w:rPr>
            </w:pPr>
          </w:p>
          <w:p w14:paraId="0914D456">
            <w:pPr>
              <w:jc w:val="center"/>
              <w:rPr>
                <w:color w:val="auto"/>
                <w:highlight w:val="none"/>
              </w:rPr>
            </w:pPr>
          </w:p>
          <w:p w14:paraId="08B4C78C">
            <w:pPr>
              <w:jc w:val="center"/>
              <w:rPr>
                <w:color w:val="auto"/>
                <w:highlight w:val="none"/>
              </w:rPr>
            </w:pPr>
          </w:p>
          <w:p w14:paraId="2442DDF6">
            <w:pPr>
              <w:ind w:firstLine="1540" w:firstLineChars="550"/>
              <w:rPr>
                <w:color w:val="auto"/>
                <w:highlight w:val="none"/>
              </w:rPr>
            </w:pPr>
            <w:r>
              <w:rPr>
                <w:rFonts w:hint="eastAsia" w:ascii="宋体" w:hAnsi="宋体"/>
                <w:color w:val="auto"/>
                <w:kern w:val="0"/>
                <w:sz w:val="28"/>
                <w:szCs w:val="28"/>
                <w:highlight w:val="none"/>
              </w:rPr>
              <w:t>委托代理人身份证复印件（或扫描件）</w:t>
            </w:r>
          </w:p>
          <w:p w14:paraId="6057127E">
            <w:pPr>
              <w:jc w:val="center"/>
              <w:rPr>
                <w:color w:val="auto"/>
                <w:highlight w:val="none"/>
              </w:rPr>
            </w:pPr>
          </w:p>
          <w:p w14:paraId="72E53131">
            <w:pPr>
              <w:jc w:val="center"/>
              <w:rPr>
                <w:color w:val="auto"/>
                <w:highlight w:val="none"/>
              </w:rPr>
            </w:pPr>
          </w:p>
          <w:p w14:paraId="43FA7F71">
            <w:pPr>
              <w:jc w:val="center"/>
              <w:rPr>
                <w:color w:val="auto"/>
                <w:highlight w:val="none"/>
              </w:rPr>
            </w:pPr>
          </w:p>
        </w:tc>
      </w:tr>
    </w:tbl>
    <w:p w14:paraId="5394ACD4">
      <w:pPr>
        <w:rPr>
          <w:rFonts w:hint="eastAsia"/>
          <w:color w:val="auto"/>
          <w:highlight w:val="none"/>
        </w:rPr>
      </w:pPr>
    </w:p>
    <w:p w14:paraId="16224F68">
      <w:pPr>
        <w:rPr>
          <w:rFonts w:hint="eastAsia"/>
          <w:color w:val="auto"/>
          <w:highlight w:val="none"/>
        </w:rPr>
      </w:pPr>
      <w:r>
        <w:rPr>
          <w:rFonts w:hint="eastAsia" w:ascii="宋体" w:hAnsi="宋体"/>
          <w:bCs/>
          <w:color w:val="auto"/>
          <w:sz w:val="24"/>
          <w:highlight w:val="none"/>
        </w:rPr>
        <w:t>因本项目为电子标，委托代理人无法手写签字，可以电脑打印字体为准或以法定代表人签章为准。</w:t>
      </w:r>
    </w:p>
    <w:p w14:paraId="6CC844B2">
      <w:pPr>
        <w:jc w:val="center"/>
        <w:rPr>
          <w:rFonts w:hint="eastAsia" w:ascii="宋体" w:hAnsi="宋体" w:cs="宋体"/>
          <w:b/>
          <w:bCs/>
          <w:color w:val="auto"/>
          <w:sz w:val="32"/>
          <w:szCs w:val="32"/>
          <w:highlight w:val="none"/>
        </w:rPr>
      </w:pPr>
    </w:p>
    <w:p w14:paraId="22E6D155">
      <w:pPr>
        <w:jc w:val="center"/>
        <w:outlineLvl w:val="0"/>
        <w:rPr>
          <w:rFonts w:hint="default" w:ascii="宋体" w:hAnsi="宋体" w:eastAsia="宋体" w:cs="宋体"/>
          <w:b/>
          <w:bCs/>
          <w:color w:val="auto"/>
          <w:kern w:val="2"/>
          <w:sz w:val="32"/>
          <w:szCs w:val="32"/>
          <w:highlight w:val="none"/>
          <w:lang w:val="en-US" w:eastAsia="zh-CN" w:bidi="ar-SA"/>
        </w:rPr>
      </w:pPr>
      <w:bookmarkStart w:id="166" w:name="_Toc19088"/>
      <w:bookmarkStart w:id="167" w:name="_Toc14873"/>
      <w:r>
        <w:rPr>
          <w:rFonts w:hint="eastAsia" w:ascii="宋体" w:hAnsi="宋体" w:cs="宋体"/>
          <w:b/>
          <w:bCs/>
          <w:color w:val="auto"/>
          <w:sz w:val="32"/>
          <w:szCs w:val="32"/>
          <w:highlight w:val="none"/>
        </w:rPr>
        <w:t>三、投标函</w:t>
      </w:r>
      <w:bookmarkEnd w:id="166"/>
      <w:bookmarkEnd w:id="167"/>
    </w:p>
    <w:p w14:paraId="7DCB34F7">
      <w:pPr>
        <w:spacing w:line="360" w:lineRule="auto"/>
        <w:jc w:val="left"/>
        <w:rPr>
          <w:rFonts w:ascii="Times New Roman" w:hAnsi="Times New Roman"/>
          <w:color w:val="auto"/>
          <w:spacing w:val="24"/>
          <w:sz w:val="24"/>
          <w:szCs w:val="24"/>
          <w:highlight w:val="none"/>
        </w:rPr>
      </w:pPr>
      <w:r>
        <w:rPr>
          <w:rFonts w:hint="eastAsia" w:ascii="宋体" w:hAnsi="宋体" w:cs="宋体"/>
          <w:color w:val="auto"/>
          <w:spacing w:val="24"/>
          <w:sz w:val="24"/>
          <w:szCs w:val="24"/>
          <w:highlight w:val="none"/>
        </w:rPr>
        <w:t>致：</w:t>
      </w:r>
      <w:r>
        <w:rPr>
          <w:rFonts w:hint="eastAsia" w:ascii="宋体" w:hAnsi="宋体" w:cs="宋体"/>
          <w:color w:val="auto"/>
          <w:spacing w:val="24"/>
          <w:sz w:val="24"/>
          <w:szCs w:val="24"/>
          <w:highlight w:val="none"/>
          <w:u w:val="single"/>
        </w:rPr>
        <w:t>（采购人）</w:t>
      </w:r>
    </w:p>
    <w:p w14:paraId="6900E906">
      <w:pPr>
        <w:spacing w:line="360" w:lineRule="auto"/>
        <w:ind w:firstLine="480" w:firstLineChars="200"/>
        <w:jc w:val="left"/>
        <w:rPr>
          <w:rFonts w:ascii="Times New Roman" w:hAnsi="Times New Roman"/>
          <w:color w:val="auto"/>
          <w:sz w:val="24"/>
          <w:szCs w:val="24"/>
          <w:highlight w:val="none"/>
        </w:rPr>
      </w:pPr>
      <w:r>
        <w:rPr>
          <w:rFonts w:hint="eastAsia" w:ascii="宋体" w:hAnsi="宋体" w:cs="宋体"/>
          <w:color w:val="auto"/>
          <w:sz w:val="24"/>
          <w:szCs w:val="24"/>
          <w:highlight w:val="none"/>
        </w:rPr>
        <w:t>根据已收到贵方的</w:t>
      </w:r>
      <w:r>
        <w:rPr>
          <w:rFonts w:hint="eastAsia" w:ascii="宋体" w:hAnsi="宋体" w:cs="宋体"/>
          <w:color w:val="auto"/>
          <w:sz w:val="24"/>
          <w:szCs w:val="24"/>
          <w:highlight w:val="none"/>
          <w:u w:val="single"/>
        </w:rPr>
        <w:t>（项目名称）（</w:t>
      </w:r>
      <w:r>
        <w:rPr>
          <w:rFonts w:hint="eastAsia" w:ascii="宋体" w:hAnsi="宋体" w:cs="宋体"/>
          <w:color w:val="auto"/>
          <w:sz w:val="24"/>
          <w:szCs w:val="24"/>
          <w:highlight w:val="none"/>
          <w:u w:val="single"/>
          <w:lang w:val="en-US" w:eastAsia="zh-CN"/>
        </w:rPr>
        <w:t>项目</w:t>
      </w:r>
      <w:r>
        <w:rPr>
          <w:rFonts w:hint="eastAsia" w:ascii="宋体" w:hAnsi="宋体" w:cs="宋体"/>
          <w:color w:val="auto"/>
          <w:sz w:val="24"/>
          <w:szCs w:val="24"/>
          <w:highlight w:val="none"/>
          <w:u w:val="single"/>
        </w:rPr>
        <w:t>编号）</w:t>
      </w:r>
      <w:r>
        <w:rPr>
          <w:rFonts w:hint="eastAsia" w:ascii="宋体" w:hAnsi="宋体" w:cs="宋体"/>
          <w:color w:val="auto"/>
          <w:sz w:val="24"/>
          <w:szCs w:val="24"/>
          <w:highlight w:val="none"/>
        </w:rPr>
        <w:t>的招标文件，遵照《中华人民共和国政府采购法》等有关规定，我单位经考察现场和研究上述招标文件的投标须知、合同条款、技术参数及其它有关文件后，我方愿以人民币（大写）：</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元（小写：</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元）的投标报价，</w:t>
      </w:r>
      <w:r>
        <w:rPr>
          <w:rFonts w:hint="eastAsia" w:ascii="宋体" w:hAnsi="宋体" w:cs="宋体"/>
          <w:color w:val="auto"/>
          <w:sz w:val="24"/>
          <w:szCs w:val="24"/>
          <w:highlight w:val="none"/>
          <w:lang w:val="en-US" w:eastAsia="zh-CN"/>
        </w:rPr>
        <w:t>交货期限</w:t>
      </w:r>
      <w:r>
        <w:rPr>
          <w:rFonts w:hint="eastAsia" w:ascii="宋体" w:hAnsi="宋体" w:cs="宋体"/>
          <w:color w:val="auto"/>
          <w:sz w:val="24"/>
          <w:szCs w:val="24"/>
          <w:highlight w:val="none"/>
        </w:rPr>
        <w:t>为</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日历天</w:t>
      </w:r>
      <w:r>
        <w:rPr>
          <w:rFonts w:ascii="宋体" w:cs="宋体"/>
          <w:color w:val="auto"/>
          <w:sz w:val="24"/>
          <w:szCs w:val="24"/>
          <w:highlight w:val="none"/>
        </w:rPr>
        <w:t>,</w:t>
      </w:r>
      <w:r>
        <w:rPr>
          <w:rFonts w:hint="eastAsia" w:ascii="宋体" w:hAnsi="宋体" w:cs="宋体"/>
          <w:color w:val="auto"/>
          <w:sz w:val="24"/>
          <w:szCs w:val="24"/>
          <w:highlight w:val="none"/>
        </w:rPr>
        <w:t>承包上述项目的采购服务，与货物有关的运输和保险及其他伴随服务</w:t>
      </w:r>
      <w:r>
        <w:rPr>
          <w:rFonts w:hint="eastAsia" w:ascii="宋体" w:hAnsi="宋体" w:cs="宋体"/>
          <w:color w:val="auto"/>
          <w:sz w:val="24"/>
          <w:szCs w:val="24"/>
          <w:highlight w:val="none"/>
          <w:shd w:val="clear" w:color="auto" w:fill="FFFFFF"/>
        </w:rPr>
        <w:t>。</w:t>
      </w:r>
    </w:p>
    <w:p w14:paraId="76BE7ED2">
      <w:pPr>
        <w:spacing w:line="360" w:lineRule="auto"/>
        <w:ind w:firstLine="480" w:firstLineChars="200"/>
        <w:jc w:val="left"/>
        <w:rPr>
          <w:rFonts w:ascii="Times New Roman" w:hAnsi="Times New Roman"/>
          <w:color w:val="auto"/>
          <w:sz w:val="24"/>
          <w:szCs w:val="24"/>
          <w:highlight w:val="none"/>
        </w:rPr>
      </w:pPr>
      <w:r>
        <w:rPr>
          <w:rFonts w:ascii="宋体" w:hAnsi="宋体" w:cs="宋体"/>
          <w:color w:val="auto"/>
          <w:sz w:val="24"/>
          <w:szCs w:val="24"/>
          <w:highlight w:val="none"/>
        </w:rPr>
        <w:t>1</w:t>
      </w:r>
      <w:r>
        <w:rPr>
          <w:rFonts w:hint="eastAsia" w:ascii="宋体" w:hAnsi="宋体" w:cs="宋体"/>
          <w:color w:val="auto"/>
          <w:sz w:val="24"/>
          <w:szCs w:val="24"/>
          <w:highlight w:val="none"/>
        </w:rPr>
        <w:t>、我方已详细审核全部招标文件，包括修改文件（如有）及有关附件，已充分理解并掌握了本招标项目的全部有关情况，认为招标文件符合法律、法规的要求，充分体现了公开、公平、公正和诚实信用原则，我方对招标文件没有任何异议。同意接受招标文件的全部内容和条件。</w:t>
      </w:r>
    </w:p>
    <w:p w14:paraId="252243E5">
      <w:pPr>
        <w:spacing w:line="360" w:lineRule="auto"/>
        <w:ind w:firstLine="480" w:firstLineChars="200"/>
        <w:jc w:val="left"/>
        <w:rPr>
          <w:rFonts w:ascii="Times New Roman" w:hAnsi="Times New Roman"/>
          <w:color w:val="auto"/>
          <w:sz w:val="24"/>
          <w:szCs w:val="24"/>
          <w:highlight w:val="none"/>
        </w:rPr>
      </w:pPr>
      <w:r>
        <w:rPr>
          <w:rFonts w:ascii="宋体" w:hAnsi="宋体" w:cs="宋体"/>
          <w:color w:val="auto"/>
          <w:sz w:val="24"/>
          <w:szCs w:val="24"/>
          <w:highlight w:val="none"/>
        </w:rPr>
        <w:t>2</w:t>
      </w:r>
      <w:r>
        <w:rPr>
          <w:rFonts w:hint="eastAsia" w:ascii="宋体" w:hAnsi="宋体" w:cs="宋体"/>
          <w:color w:val="auto"/>
          <w:sz w:val="24"/>
          <w:szCs w:val="24"/>
          <w:highlight w:val="none"/>
        </w:rPr>
        <w:t>、我方承认投标函附表是我方投标函的组成部分。</w:t>
      </w:r>
    </w:p>
    <w:p w14:paraId="3BECDD61">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、如我方中标，我方承诺在收到中标通知书后，在中标通知书规定的期限内，根据招标文件、我方的投标文件及有关澄清承诺书的要求，与采购人订立书面合同，并按照合同约定承担完成合同的责任和义务。</w:t>
      </w:r>
    </w:p>
    <w:p w14:paraId="641CC159">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4、我方同意自本项目招标文件中规定的投标有效期内有效，并承诺在投标有效期内不修改、撤销投标文件。</w:t>
      </w:r>
    </w:p>
    <w:p w14:paraId="43F369BA">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5、我方完全理解贵方不一定接受投标报价最低的投标供应商为中标供应商的行为。</w:t>
      </w:r>
    </w:p>
    <w:p w14:paraId="7D78BE5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、我方在此声明，所递交的投标文件及有关资料内容完整、真实和准确。</w:t>
      </w:r>
    </w:p>
    <w:p w14:paraId="2B96FE7E">
      <w:pPr>
        <w:spacing w:line="360" w:lineRule="auto"/>
        <w:rPr>
          <w:rFonts w:hint="eastAsia" w:ascii="宋体" w:hAnsi="宋体" w:cs="宋体"/>
          <w:color w:val="auto"/>
          <w:spacing w:val="24"/>
          <w:szCs w:val="24"/>
          <w:highlight w:val="none"/>
        </w:rPr>
      </w:pPr>
      <w:r>
        <w:rPr>
          <w:rFonts w:hint="eastAsia" w:ascii="宋体" w:hAnsi="宋体" w:cs="宋体"/>
          <w:color w:val="auto"/>
          <w:spacing w:val="24"/>
          <w:szCs w:val="24"/>
          <w:highlight w:val="none"/>
        </w:rPr>
        <w:t xml:space="preserve">                 </w:t>
      </w:r>
    </w:p>
    <w:p w14:paraId="2070C756">
      <w:pPr>
        <w:spacing w:line="360" w:lineRule="auto"/>
        <w:rPr>
          <w:rFonts w:hint="eastAsia" w:ascii="宋体" w:hAnsi="宋体" w:cs="宋体"/>
          <w:color w:val="auto"/>
          <w:spacing w:val="24"/>
          <w:szCs w:val="24"/>
          <w:highlight w:val="none"/>
        </w:rPr>
      </w:pPr>
      <w:r>
        <w:rPr>
          <w:rFonts w:hint="eastAsia" w:ascii="宋体" w:hAnsi="宋体" w:cs="宋体"/>
          <w:color w:val="auto"/>
          <w:spacing w:val="24"/>
          <w:szCs w:val="24"/>
          <w:highlight w:val="none"/>
        </w:rPr>
        <w:t xml:space="preserve">         </w:t>
      </w:r>
    </w:p>
    <w:p w14:paraId="4DE99684">
      <w:pPr>
        <w:spacing w:line="360" w:lineRule="auto"/>
        <w:rPr>
          <w:rFonts w:ascii="宋体" w:hAnsi="宋体" w:cs="宋体"/>
          <w:color w:val="auto"/>
          <w:kern w:val="0"/>
          <w:sz w:val="24"/>
          <w:szCs w:val="24"/>
          <w:highlight w:val="none"/>
        </w:rPr>
      </w:pPr>
      <w:r>
        <w:rPr>
          <w:rFonts w:hint="eastAsia" w:ascii="宋体" w:hAnsi="宋体" w:cs="宋体"/>
          <w:color w:val="auto"/>
          <w:spacing w:val="24"/>
          <w:szCs w:val="24"/>
          <w:highlight w:val="none"/>
        </w:rPr>
        <w:t xml:space="preserve">                      </w:t>
      </w:r>
      <w:r>
        <w:rPr>
          <w:rFonts w:hint="eastAsia" w:ascii="宋体" w:hAnsi="宋体" w:cs="宋体"/>
          <w:color w:val="auto"/>
          <w:kern w:val="0"/>
          <w:sz w:val="24"/>
          <w:szCs w:val="24"/>
          <w:highlight w:val="none"/>
        </w:rPr>
        <w:t xml:space="preserve"> 投标供应商(盖章)：</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 xml:space="preserve">             </w:t>
      </w:r>
    </w:p>
    <w:p w14:paraId="202CAE43">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 xml:space="preserve">                         </w:t>
      </w:r>
      <w:r>
        <w:rPr>
          <w:rFonts w:hint="eastAsia" w:ascii="宋体" w:hAnsi="宋体" w:cs="宋体"/>
          <w:color w:val="auto"/>
          <w:kern w:val="0"/>
          <w:sz w:val="24"/>
          <w:szCs w:val="24"/>
          <w:highlight w:val="none"/>
          <w:lang w:val="en-US" w:eastAsia="zh-CN"/>
        </w:rPr>
        <w:t xml:space="preserve">   </w:t>
      </w:r>
      <w:r>
        <w:rPr>
          <w:rFonts w:hint="eastAsia" w:ascii="宋体" w:hAnsi="宋体" w:cs="宋体"/>
          <w:color w:val="auto"/>
          <w:kern w:val="0"/>
          <w:sz w:val="24"/>
          <w:szCs w:val="24"/>
          <w:highlight w:val="none"/>
        </w:rPr>
        <w:t xml:space="preserve"> 法定代表人或其委托代理人(签章)：</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rPr>
        <w:t xml:space="preserve">    </w:t>
      </w:r>
    </w:p>
    <w:p w14:paraId="782BC02A">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日    期：</w:t>
      </w:r>
      <w:r>
        <w:rPr>
          <w:rFonts w:hint="eastAsia" w:ascii="宋体" w:hAnsi="宋体" w:cs="宋体"/>
          <w:color w:val="auto"/>
          <w:kern w:val="0"/>
          <w:sz w:val="24"/>
          <w:szCs w:val="24"/>
          <w:highlight w:val="none"/>
          <w:lang w:val="en-US" w:eastAsia="zh-CN"/>
        </w:rPr>
        <w:t xml:space="preserve">    </w:t>
      </w:r>
      <w:r>
        <w:rPr>
          <w:rFonts w:hint="eastAsia" w:ascii="宋体" w:hAnsi="宋体" w:cs="宋体"/>
          <w:color w:val="auto"/>
          <w:kern w:val="0"/>
          <w:sz w:val="24"/>
          <w:szCs w:val="24"/>
          <w:highlight w:val="none"/>
        </w:rPr>
        <w:t>年   月   日</w:t>
      </w:r>
    </w:p>
    <w:p w14:paraId="4D498DB7">
      <w:pPr>
        <w:spacing w:line="360" w:lineRule="auto"/>
        <w:ind w:firstLine="480" w:firstLineChars="200"/>
        <w:rPr>
          <w:rFonts w:hint="eastAsia" w:ascii="宋体" w:hAnsi="宋体" w:cs="宋体"/>
          <w:color w:val="auto"/>
          <w:kern w:val="0"/>
          <w:sz w:val="24"/>
          <w:szCs w:val="24"/>
          <w:highlight w:val="none"/>
        </w:rPr>
      </w:pPr>
    </w:p>
    <w:p w14:paraId="7D2B9471">
      <w:pPr>
        <w:spacing w:line="360" w:lineRule="auto"/>
        <w:rPr>
          <w:rFonts w:hint="eastAsia" w:ascii="宋体" w:hAnsi="宋体" w:cs="宋体"/>
          <w:color w:val="auto"/>
          <w:kern w:val="0"/>
          <w:sz w:val="24"/>
          <w:szCs w:val="24"/>
          <w:highlight w:val="none"/>
        </w:rPr>
      </w:pPr>
    </w:p>
    <w:p w14:paraId="10601B45">
      <w:pPr>
        <w:rPr>
          <w:rFonts w:hint="eastAsia" w:ascii="宋体"/>
          <w:b/>
          <w:bCs/>
          <w:color w:val="auto"/>
          <w:sz w:val="32"/>
          <w:szCs w:val="32"/>
          <w:highlight w:val="none"/>
        </w:rPr>
      </w:pPr>
    </w:p>
    <w:p w14:paraId="7D760C9D">
      <w:pPr>
        <w:jc w:val="center"/>
        <w:rPr>
          <w:rFonts w:hint="eastAsia" w:ascii="宋体" w:hAnsi="宋体" w:cs="宋体"/>
          <w:b/>
          <w:bCs/>
          <w:color w:val="auto"/>
          <w:sz w:val="30"/>
          <w:szCs w:val="30"/>
          <w:highlight w:val="none"/>
        </w:rPr>
      </w:pPr>
      <w:r>
        <w:rPr>
          <w:rFonts w:hint="eastAsia" w:ascii="宋体" w:hAnsi="宋体" w:cs="宋体"/>
          <w:b/>
          <w:bCs/>
          <w:color w:val="auto"/>
          <w:sz w:val="30"/>
          <w:szCs w:val="30"/>
          <w:highlight w:val="none"/>
        </w:rPr>
        <w:t>投标函附表</w:t>
      </w:r>
    </w:p>
    <w:p w14:paraId="2F62DBB6">
      <w:pPr>
        <w:jc w:val="both"/>
        <w:outlineLvl w:val="0"/>
        <w:rPr>
          <w:rFonts w:hint="default" w:ascii="宋体" w:hAnsi="宋体" w:eastAsia="宋体" w:cs="宋体"/>
          <w:b/>
          <w:bCs/>
          <w:color w:val="auto"/>
          <w:sz w:val="24"/>
          <w:szCs w:val="24"/>
          <w:highlight w:val="none"/>
          <w:lang w:val="en-US" w:eastAsia="zh-CN"/>
        </w:rPr>
      </w:pPr>
      <w:bookmarkStart w:id="168" w:name="_Toc29949"/>
      <w:bookmarkStart w:id="169" w:name="_Toc7508"/>
      <w:r>
        <w:rPr>
          <w:rFonts w:hint="eastAsia" w:ascii="宋体" w:hAnsi="宋体" w:cs="宋体"/>
          <w:b/>
          <w:bCs/>
          <w:color w:val="auto"/>
          <w:sz w:val="24"/>
          <w:szCs w:val="24"/>
          <w:highlight w:val="none"/>
          <w:lang w:val="en-US" w:eastAsia="zh-CN"/>
        </w:rPr>
        <w:t>附件1：</w:t>
      </w:r>
      <w:bookmarkEnd w:id="168"/>
      <w:bookmarkEnd w:id="169"/>
    </w:p>
    <w:tbl>
      <w:tblPr>
        <w:tblStyle w:val="18"/>
        <w:tblW w:w="9059"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2"/>
        <w:gridCol w:w="6647"/>
      </w:tblGrid>
      <w:tr w14:paraId="6F9B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1" w:hRule="exact"/>
        </w:trPr>
        <w:tc>
          <w:tcPr>
            <w:tcW w:w="2412" w:type="dxa"/>
            <w:noWrap w:val="0"/>
            <w:vAlign w:val="center"/>
          </w:tcPr>
          <w:p w14:paraId="32C21F8B">
            <w:pPr>
              <w:spacing w:line="400" w:lineRule="exact"/>
              <w:jc w:val="center"/>
              <w:rPr>
                <w:rFonts w:ascii="宋体"/>
                <w:color w:val="auto"/>
                <w:sz w:val="24"/>
                <w:szCs w:val="24"/>
                <w:highlight w:val="none"/>
              </w:rPr>
            </w:pPr>
            <w:r>
              <w:rPr>
                <w:rFonts w:hint="eastAsia" w:ascii="宋体" w:hAnsi="宋体" w:cs="宋体"/>
                <w:color w:val="auto"/>
                <w:sz w:val="24"/>
                <w:szCs w:val="24"/>
                <w:highlight w:val="none"/>
              </w:rPr>
              <w:t>项目名称</w:t>
            </w:r>
          </w:p>
        </w:tc>
        <w:tc>
          <w:tcPr>
            <w:tcW w:w="6647" w:type="dxa"/>
            <w:noWrap w:val="0"/>
            <w:vAlign w:val="center"/>
          </w:tcPr>
          <w:p w14:paraId="0338340C">
            <w:pPr>
              <w:spacing w:line="400" w:lineRule="exact"/>
              <w:rPr>
                <w:rFonts w:ascii="宋体"/>
                <w:color w:val="auto"/>
                <w:sz w:val="24"/>
                <w:szCs w:val="24"/>
                <w:highlight w:val="none"/>
              </w:rPr>
            </w:pPr>
          </w:p>
        </w:tc>
      </w:tr>
      <w:tr w14:paraId="0C83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exact"/>
        </w:trPr>
        <w:tc>
          <w:tcPr>
            <w:tcW w:w="2412" w:type="dxa"/>
            <w:noWrap w:val="0"/>
            <w:vAlign w:val="center"/>
          </w:tcPr>
          <w:p w14:paraId="0ECA2072">
            <w:pPr>
              <w:spacing w:line="400" w:lineRule="exact"/>
              <w:jc w:val="center"/>
              <w:rPr>
                <w:rFonts w:ascii="宋体"/>
                <w:color w:val="auto"/>
                <w:sz w:val="24"/>
                <w:szCs w:val="24"/>
                <w:highlight w:val="none"/>
              </w:rPr>
            </w:pPr>
            <w:r>
              <w:rPr>
                <w:rFonts w:hint="eastAsia" w:ascii="宋体" w:hAnsi="宋体" w:cs="宋体"/>
                <w:color w:val="auto"/>
                <w:sz w:val="24"/>
                <w:szCs w:val="24"/>
                <w:highlight w:val="none"/>
              </w:rPr>
              <w:t>项目编号</w:t>
            </w:r>
          </w:p>
        </w:tc>
        <w:tc>
          <w:tcPr>
            <w:tcW w:w="6647" w:type="dxa"/>
            <w:noWrap w:val="0"/>
            <w:vAlign w:val="center"/>
          </w:tcPr>
          <w:p w14:paraId="1A84921A">
            <w:pPr>
              <w:spacing w:line="400" w:lineRule="exact"/>
              <w:rPr>
                <w:rFonts w:ascii="宋体"/>
                <w:color w:val="auto"/>
                <w:sz w:val="24"/>
                <w:szCs w:val="24"/>
                <w:highlight w:val="none"/>
              </w:rPr>
            </w:pPr>
          </w:p>
        </w:tc>
      </w:tr>
      <w:tr w14:paraId="00F8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exact"/>
        </w:trPr>
        <w:tc>
          <w:tcPr>
            <w:tcW w:w="2412" w:type="dxa"/>
            <w:noWrap w:val="0"/>
            <w:vAlign w:val="center"/>
          </w:tcPr>
          <w:p w14:paraId="56723A4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供应商名称</w:t>
            </w:r>
          </w:p>
        </w:tc>
        <w:tc>
          <w:tcPr>
            <w:tcW w:w="6647" w:type="dxa"/>
            <w:noWrap w:val="0"/>
            <w:vAlign w:val="center"/>
          </w:tcPr>
          <w:p w14:paraId="26D89069">
            <w:pPr>
              <w:spacing w:line="400" w:lineRule="exact"/>
              <w:rPr>
                <w:rFonts w:ascii="宋体"/>
                <w:color w:val="auto"/>
                <w:sz w:val="24"/>
                <w:szCs w:val="24"/>
                <w:highlight w:val="none"/>
              </w:rPr>
            </w:pPr>
          </w:p>
        </w:tc>
      </w:tr>
      <w:tr w14:paraId="78DF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1" w:hRule="exact"/>
        </w:trPr>
        <w:tc>
          <w:tcPr>
            <w:tcW w:w="2412" w:type="dxa"/>
            <w:noWrap w:val="0"/>
            <w:vAlign w:val="center"/>
          </w:tcPr>
          <w:p w14:paraId="7C7F45EB">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投标总报价</w:t>
            </w:r>
          </w:p>
        </w:tc>
        <w:tc>
          <w:tcPr>
            <w:tcW w:w="6647" w:type="dxa"/>
            <w:noWrap w:val="0"/>
            <w:vAlign w:val="center"/>
          </w:tcPr>
          <w:p w14:paraId="1D98ED19">
            <w:pPr>
              <w:spacing w:line="4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大写：     </w:t>
            </w:r>
            <w:r>
              <w:rPr>
                <w:rFonts w:ascii="宋体" w:hAnsi="宋体" w:cs="宋体"/>
                <w:color w:val="auto"/>
                <w:sz w:val="24"/>
                <w:szCs w:val="24"/>
                <w:highlight w:val="none"/>
              </w:rPr>
              <w:t xml:space="preserve"> </w:t>
            </w:r>
          </w:p>
          <w:p w14:paraId="1ABF1DF7">
            <w:pPr>
              <w:spacing w:line="400" w:lineRule="exact"/>
              <w:rPr>
                <w:rFonts w:ascii="宋体"/>
                <w:color w:val="auto"/>
                <w:sz w:val="24"/>
                <w:szCs w:val="24"/>
                <w:highlight w:val="none"/>
              </w:rPr>
            </w:pPr>
            <w:r>
              <w:rPr>
                <w:rFonts w:hint="eastAsia" w:ascii="宋体" w:hAnsi="宋体" w:cs="宋体"/>
                <w:color w:val="auto"/>
                <w:sz w:val="24"/>
                <w:szCs w:val="24"/>
                <w:highlight w:val="none"/>
              </w:rPr>
              <w:t>小写：</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 xml:space="preserve">    元</w:t>
            </w:r>
          </w:p>
        </w:tc>
      </w:tr>
      <w:tr w14:paraId="2660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exact"/>
        </w:trPr>
        <w:tc>
          <w:tcPr>
            <w:tcW w:w="2412" w:type="dxa"/>
            <w:noWrap w:val="0"/>
            <w:vAlign w:val="center"/>
          </w:tcPr>
          <w:p w14:paraId="70426B95">
            <w:pPr>
              <w:spacing w:line="400" w:lineRule="exact"/>
              <w:jc w:val="center"/>
              <w:rPr>
                <w:rFonts w:ascii="宋体"/>
                <w:color w:val="auto"/>
                <w:sz w:val="24"/>
                <w:szCs w:val="24"/>
                <w:highlight w:val="none"/>
              </w:rPr>
            </w:pPr>
            <w:r>
              <w:rPr>
                <w:rFonts w:hint="eastAsia" w:ascii="宋体" w:hAnsi="宋体" w:cs="宋体"/>
                <w:color w:val="auto"/>
                <w:sz w:val="24"/>
                <w:szCs w:val="24"/>
                <w:highlight w:val="none"/>
                <w:lang w:val="en-US" w:eastAsia="zh-CN"/>
              </w:rPr>
              <w:t>交货期限</w:t>
            </w:r>
          </w:p>
        </w:tc>
        <w:tc>
          <w:tcPr>
            <w:tcW w:w="6647" w:type="dxa"/>
            <w:noWrap w:val="0"/>
            <w:vAlign w:val="center"/>
          </w:tcPr>
          <w:p w14:paraId="43AA8C34">
            <w:pPr>
              <w:spacing w:line="400" w:lineRule="exact"/>
              <w:rPr>
                <w:rFonts w:ascii="宋体"/>
                <w:color w:val="auto"/>
                <w:sz w:val="24"/>
                <w:szCs w:val="24"/>
                <w:highlight w:val="none"/>
              </w:rPr>
            </w:pPr>
          </w:p>
        </w:tc>
      </w:tr>
      <w:tr w14:paraId="7A88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exact"/>
        </w:trPr>
        <w:tc>
          <w:tcPr>
            <w:tcW w:w="2412" w:type="dxa"/>
            <w:noWrap w:val="0"/>
            <w:vAlign w:val="center"/>
          </w:tcPr>
          <w:p w14:paraId="1065A955">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质保期</w:t>
            </w:r>
          </w:p>
        </w:tc>
        <w:tc>
          <w:tcPr>
            <w:tcW w:w="6647" w:type="dxa"/>
            <w:noWrap w:val="0"/>
            <w:vAlign w:val="center"/>
          </w:tcPr>
          <w:p w14:paraId="77E2769E">
            <w:pPr>
              <w:spacing w:line="400" w:lineRule="exact"/>
              <w:rPr>
                <w:rFonts w:ascii="宋体"/>
                <w:color w:val="auto"/>
                <w:sz w:val="24"/>
                <w:szCs w:val="24"/>
                <w:highlight w:val="none"/>
              </w:rPr>
            </w:pPr>
          </w:p>
        </w:tc>
      </w:tr>
      <w:tr w14:paraId="3437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exact"/>
        </w:trPr>
        <w:tc>
          <w:tcPr>
            <w:tcW w:w="2412" w:type="dxa"/>
            <w:noWrap w:val="0"/>
            <w:vAlign w:val="center"/>
          </w:tcPr>
          <w:p w14:paraId="7D78DA3E">
            <w:pPr>
              <w:spacing w:line="400" w:lineRule="exact"/>
              <w:jc w:val="center"/>
              <w:rPr>
                <w:rFonts w:ascii="宋体"/>
                <w:color w:val="auto"/>
                <w:sz w:val="24"/>
                <w:szCs w:val="24"/>
                <w:highlight w:val="none"/>
              </w:rPr>
            </w:pPr>
            <w:r>
              <w:rPr>
                <w:rFonts w:hint="eastAsia" w:ascii="宋体" w:hAnsi="宋体" w:cs="宋体"/>
                <w:color w:val="auto"/>
                <w:sz w:val="24"/>
                <w:szCs w:val="24"/>
                <w:highlight w:val="none"/>
              </w:rPr>
              <w:t>质量要求</w:t>
            </w:r>
          </w:p>
        </w:tc>
        <w:tc>
          <w:tcPr>
            <w:tcW w:w="6647" w:type="dxa"/>
            <w:noWrap w:val="0"/>
            <w:vAlign w:val="center"/>
          </w:tcPr>
          <w:p w14:paraId="093FAFB1">
            <w:pPr>
              <w:spacing w:line="400" w:lineRule="exact"/>
              <w:jc w:val="center"/>
              <w:rPr>
                <w:rFonts w:ascii="宋体"/>
                <w:color w:val="auto"/>
                <w:sz w:val="24"/>
                <w:szCs w:val="24"/>
                <w:highlight w:val="none"/>
              </w:rPr>
            </w:pPr>
          </w:p>
        </w:tc>
      </w:tr>
      <w:tr w14:paraId="4BBF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exact"/>
        </w:trPr>
        <w:tc>
          <w:tcPr>
            <w:tcW w:w="2412" w:type="dxa"/>
            <w:noWrap w:val="0"/>
            <w:vAlign w:val="center"/>
          </w:tcPr>
          <w:p w14:paraId="37739B44">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投标有效期</w:t>
            </w:r>
          </w:p>
        </w:tc>
        <w:tc>
          <w:tcPr>
            <w:tcW w:w="6647" w:type="dxa"/>
            <w:noWrap w:val="0"/>
            <w:vAlign w:val="center"/>
          </w:tcPr>
          <w:p w14:paraId="42710198">
            <w:pPr>
              <w:spacing w:line="400" w:lineRule="exact"/>
              <w:jc w:val="center"/>
              <w:rPr>
                <w:rFonts w:ascii="宋体"/>
                <w:color w:val="auto"/>
                <w:sz w:val="24"/>
                <w:szCs w:val="24"/>
                <w:highlight w:val="none"/>
              </w:rPr>
            </w:pPr>
          </w:p>
        </w:tc>
      </w:tr>
      <w:tr w14:paraId="1E9B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exact"/>
        </w:trPr>
        <w:tc>
          <w:tcPr>
            <w:tcW w:w="2412" w:type="dxa"/>
            <w:noWrap w:val="0"/>
            <w:vAlign w:val="center"/>
          </w:tcPr>
          <w:p w14:paraId="7DE789ED">
            <w:pPr>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项目负责人及联系方式</w:t>
            </w:r>
          </w:p>
        </w:tc>
        <w:tc>
          <w:tcPr>
            <w:tcW w:w="6647" w:type="dxa"/>
            <w:noWrap w:val="0"/>
            <w:vAlign w:val="center"/>
          </w:tcPr>
          <w:p w14:paraId="0963DC5E">
            <w:pPr>
              <w:spacing w:line="400" w:lineRule="exact"/>
              <w:jc w:val="center"/>
              <w:rPr>
                <w:rFonts w:ascii="宋体"/>
                <w:color w:val="auto"/>
                <w:sz w:val="24"/>
                <w:szCs w:val="24"/>
                <w:highlight w:val="none"/>
              </w:rPr>
            </w:pPr>
          </w:p>
        </w:tc>
      </w:tr>
      <w:tr w14:paraId="2288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8" w:hRule="exact"/>
        </w:trPr>
        <w:tc>
          <w:tcPr>
            <w:tcW w:w="2412" w:type="dxa"/>
            <w:noWrap w:val="0"/>
            <w:vAlign w:val="center"/>
          </w:tcPr>
          <w:p w14:paraId="355B8E01">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备注</w:t>
            </w:r>
          </w:p>
        </w:tc>
        <w:tc>
          <w:tcPr>
            <w:tcW w:w="6647" w:type="dxa"/>
            <w:noWrap w:val="0"/>
            <w:vAlign w:val="center"/>
          </w:tcPr>
          <w:p w14:paraId="7DB17DEB">
            <w:pPr>
              <w:spacing w:line="400" w:lineRule="exact"/>
              <w:jc w:val="center"/>
              <w:rPr>
                <w:rFonts w:ascii="宋体"/>
                <w:color w:val="auto"/>
                <w:sz w:val="24"/>
                <w:szCs w:val="24"/>
                <w:highlight w:val="none"/>
              </w:rPr>
            </w:pPr>
          </w:p>
        </w:tc>
      </w:tr>
    </w:tbl>
    <w:p w14:paraId="5E68EDFC">
      <w:pPr>
        <w:snapToGrid w:val="0"/>
        <w:spacing w:line="580" w:lineRule="exact"/>
        <w:ind w:left="-18" w:leftChars="-22" w:right="-817" w:rightChars="-389" w:hanging="28" w:hangingChars="12"/>
        <w:rPr>
          <w:rFonts w:hint="eastAsia" w:ascii="宋体" w:hAnsi="宋体" w:cs="宋体"/>
          <w:color w:val="auto"/>
          <w:sz w:val="24"/>
          <w:szCs w:val="24"/>
          <w:highlight w:val="none"/>
        </w:rPr>
      </w:pPr>
    </w:p>
    <w:p w14:paraId="57005BB1">
      <w:pPr>
        <w:spacing w:line="360" w:lineRule="auto"/>
        <w:ind w:firstLine="3360" w:firstLineChars="1400"/>
        <w:rPr>
          <w:rFonts w:hint="eastAsia" w:ascii="宋体" w:hAnsi="宋体" w:cs="宋体"/>
          <w:color w:val="auto"/>
          <w:sz w:val="24"/>
          <w:szCs w:val="24"/>
          <w:highlight w:val="none"/>
        </w:rPr>
      </w:pPr>
    </w:p>
    <w:p w14:paraId="4EEC7DDE">
      <w:pPr>
        <w:spacing w:line="360" w:lineRule="auto"/>
        <w:ind w:firstLine="3360" w:firstLineChars="1400"/>
        <w:rPr>
          <w:color w:val="auto"/>
          <w:sz w:val="24"/>
          <w:highlight w:val="none"/>
          <w:u w:val="single"/>
        </w:rPr>
      </w:pPr>
      <w:r>
        <w:rPr>
          <w:rFonts w:hint="eastAsia" w:ascii="宋体" w:hAnsi="宋体" w:cs="宋体"/>
          <w:color w:val="auto"/>
          <w:sz w:val="24"/>
          <w:szCs w:val="24"/>
          <w:highlight w:val="none"/>
        </w:rPr>
        <w:t xml:space="preserve"> </w:t>
      </w:r>
      <w:r>
        <w:rPr>
          <w:rFonts w:hint="eastAsia"/>
          <w:color w:val="auto"/>
          <w:sz w:val="24"/>
          <w:highlight w:val="none"/>
        </w:rPr>
        <w:t>投标供应商</w:t>
      </w:r>
      <w:r>
        <w:rPr>
          <w:rFonts w:hint="eastAsia"/>
          <w:color w:val="auto"/>
          <w:sz w:val="24"/>
          <w:highlight w:val="none"/>
          <w:lang w:eastAsia="zh-CN"/>
        </w:rPr>
        <w:t>（</w:t>
      </w:r>
      <w:r>
        <w:rPr>
          <w:rFonts w:hint="eastAsia"/>
          <w:color w:val="auto"/>
          <w:sz w:val="24"/>
          <w:highlight w:val="none"/>
          <w:lang w:val="en-US" w:eastAsia="zh-CN"/>
        </w:rPr>
        <w:t>盖章</w:t>
      </w:r>
      <w:r>
        <w:rPr>
          <w:rFonts w:hint="eastAsia"/>
          <w:color w:val="auto"/>
          <w:sz w:val="24"/>
          <w:highlight w:val="none"/>
          <w:lang w:eastAsia="zh-CN"/>
        </w:rPr>
        <w:t>）</w:t>
      </w:r>
      <w:r>
        <w:rPr>
          <w:rFonts w:hint="eastAsia"/>
          <w:color w:val="auto"/>
          <w:sz w:val="24"/>
          <w:highlight w:val="none"/>
        </w:rPr>
        <w:t>：</w:t>
      </w:r>
      <w:r>
        <w:rPr>
          <w:rFonts w:hint="eastAsia"/>
          <w:color w:val="auto"/>
          <w:sz w:val="24"/>
          <w:highlight w:val="none"/>
          <w:u w:val="single"/>
        </w:rPr>
        <w:t xml:space="preserve">                        </w:t>
      </w:r>
    </w:p>
    <w:p w14:paraId="7BDB192D">
      <w:pPr>
        <w:spacing w:line="360" w:lineRule="auto"/>
        <w:ind w:firstLine="3480" w:firstLineChars="1450"/>
        <w:rPr>
          <w:color w:val="auto"/>
          <w:sz w:val="24"/>
          <w:highlight w:val="none"/>
          <w:u w:val="single"/>
        </w:rPr>
      </w:pPr>
      <w:r>
        <w:rPr>
          <w:rFonts w:hint="eastAsia"/>
          <w:color w:val="auto"/>
          <w:sz w:val="24"/>
          <w:highlight w:val="none"/>
        </w:rPr>
        <w:t>法定代表人或其委托代理人</w:t>
      </w:r>
      <w:r>
        <w:rPr>
          <w:rFonts w:hint="eastAsia"/>
          <w:color w:val="auto"/>
          <w:sz w:val="24"/>
          <w:highlight w:val="none"/>
          <w:lang w:eastAsia="zh-CN"/>
        </w:rPr>
        <w:t>（</w:t>
      </w:r>
      <w:r>
        <w:rPr>
          <w:rFonts w:hint="eastAsia"/>
          <w:color w:val="auto"/>
          <w:sz w:val="24"/>
          <w:highlight w:val="none"/>
          <w:lang w:val="en-US" w:eastAsia="zh-CN"/>
        </w:rPr>
        <w:t>签章</w:t>
      </w:r>
      <w:r>
        <w:rPr>
          <w:rFonts w:hint="eastAsia"/>
          <w:color w:val="auto"/>
          <w:sz w:val="24"/>
          <w:highlight w:val="none"/>
          <w:lang w:eastAsia="zh-CN"/>
        </w:rPr>
        <w:t>）</w:t>
      </w:r>
      <w:r>
        <w:rPr>
          <w:rFonts w:hint="eastAsia"/>
          <w:color w:val="auto"/>
          <w:sz w:val="24"/>
          <w:highlight w:val="none"/>
        </w:rPr>
        <w:t>：</w:t>
      </w:r>
      <w:r>
        <w:rPr>
          <w:rFonts w:hint="eastAsia"/>
          <w:color w:val="auto"/>
          <w:sz w:val="24"/>
          <w:highlight w:val="none"/>
          <w:u w:val="single"/>
        </w:rPr>
        <w:t xml:space="preserve">                 </w:t>
      </w:r>
    </w:p>
    <w:p w14:paraId="64A1205E">
      <w:pPr>
        <w:spacing w:line="360" w:lineRule="auto"/>
        <w:ind w:firstLine="480" w:firstLineChars="200"/>
        <w:rPr>
          <w:color w:val="auto"/>
          <w:sz w:val="24"/>
          <w:highlight w:val="none"/>
        </w:rPr>
      </w:pPr>
      <w:r>
        <w:rPr>
          <w:rFonts w:hint="eastAsia"/>
          <w:color w:val="auto"/>
          <w:sz w:val="24"/>
          <w:highlight w:val="none"/>
        </w:rPr>
        <w:t xml:space="preserve">                         日期：   年   月   日</w:t>
      </w:r>
    </w:p>
    <w:p w14:paraId="10A62584">
      <w:pPr>
        <w:wordWrap w:val="0"/>
        <w:spacing w:line="520" w:lineRule="exact"/>
        <w:ind w:firstLine="3213" w:firstLineChars="1000"/>
        <w:rPr>
          <w:rFonts w:ascii="宋体" w:hAnsi="宋体" w:cs="宋体"/>
          <w:b/>
          <w:bCs/>
          <w:color w:val="auto"/>
          <w:sz w:val="32"/>
          <w:szCs w:val="32"/>
          <w:highlight w:val="none"/>
        </w:rPr>
      </w:pPr>
    </w:p>
    <w:p w14:paraId="1C86BEF7">
      <w:pPr>
        <w:spacing w:line="360" w:lineRule="auto"/>
        <w:ind w:firstLine="480" w:firstLineChars="200"/>
        <w:jc w:val="left"/>
        <w:rPr>
          <w:rFonts w:ascii="宋体"/>
          <w:color w:val="auto"/>
          <w:sz w:val="24"/>
          <w:szCs w:val="24"/>
          <w:highlight w:val="none"/>
        </w:rPr>
      </w:pPr>
    </w:p>
    <w:p w14:paraId="368A7E6A">
      <w:pPr>
        <w:rPr>
          <w:rFonts w:hint="eastAsia"/>
          <w:b w:val="0"/>
          <w:bCs w:val="0"/>
          <w:color w:val="auto"/>
          <w:sz w:val="32"/>
          <w:szCs w:val="32"/>
          <w:highlight w:val="none"/>
        </w:rPr>
      </w:pPr>
      <w:r>
        <w:rPr>
          <w:rFonts w:hint="eastAsia"/>
          <w:b w:val="0"/>
          <w:bCs w:val="0"/>
          <w:color w:val="auto"/>
          <w:sz w:val="32"/>
          <w:szCs w:val="32"/>
          <w:highlight w:val="none"/>
        </w:rPr>
        <w:br w:type="page"/>
      </w:r>
    </w:p>
    <w:p w14:paraId="5D79D2AD">
      <w:pPr>
        <w:spacing w:line="520" w:lineRule="exact"/>
        <w:jc w:val="center"/>
        <w:outlineLvl w:val="0"/>
        <w:rPr>
          <w:rFonts w:hint="eastAsia"/>
          <w:b/>
          <w:bCs/>
          <w:color w:val="auto"/>
          <w:sz w:val="30"/>
          <w:szCs w:val="30"/>
          <w:highlight w:val="none"/>
        </w:rPr>
      </w:pPr>
      <w:bookmarkStart w:id="170" w:name="_Toc18794"/>
      <w:bookmarkStart w:id="171" w:name="_Toc2400"/>
      <w:r>
        <w:rPr>
          <w:rFonts w:hint="eastAsia"/>
          <w:b/>
          <w:bCs/>
          <w:color w:val="auto"/>
          <w:sz w:val="30"/>
          <w:szCs w:val="30"/>
          <w:highlight w:val="none"/>
        </w:rPr>
        <w:t>四、报价明细表</w:t>
      </w:r>
      <w:bookmarkEnd w:id="170"/>
      <w:bookmarkEnd w:id="171"/>
    </w:p>
    <w:p w14:paraId="2DF13FB1">
      <w:pPr>
        <w:spacing w:line="360" w:lineRule="auto"/>
        <w:rPr>
          <w:rFonts w:hint="eastAsia"/>
          <w:color w:val="auto"/>
          <w:sz w:val="24"/>
          <w:highlight w:val="none"/>
        </w:rPr>
      </w:pPr>
      <w:r>
        <w:rPr>
          <w:rFonts w:hint="eastAsia"/>
          <w:color w:val="auto"/>
          <w:sz w:val="24"/>
          <w:highlight w:val="none"/>
        </w:rPr>
        <w:t xml:space="preserve">                                   </w:t>
      </w:r>
    </w:p>
    <w:p w14:paraId="0B8D378F">
      <w:pPr>
        <w:wordWrap w:val="0"/>
        <w:spacing w:line="520" w:lineRule="exact"/>
        <w:jc w:val="center"/>
        <w:rPr>
          <w:b/>
          <w:bCs/>
          <w:color w:val="auto"/>
          <w:sz w:val="30"/>
          <w:szCs w:val="30"/>
          <w:highlight w:val="none"/>
        </w:rPr>
      </w:pPr>
      <w:r>
        <w:rPr>
          <w:rFonts w:hint="eastAsia"/>
          <w:b/>
          <w:bCs/>
          <w:color w:val="auto"/>
          <w:sz w:val="30"/>
          <w:szCs w:val="30"/>
          <w:highlight w:val="none"/>
        </w:rPr>
        <w:t xml:space="preserve"> （格式自拟）</w:t>
      </w:r>
    </w:p>
    <w:p w14:paraId="7FAE6265">
      <w:pPr>
        <w:spacing w:line="360" w:lineRule="auto"/>
        <w:rPr>
          <w:rFonts w:hint="eastAsia"/>
          <w:color w:val="auto"/>
          <w:sz w:val="24"/>
          <w:highlight w:val="none"/>
        </w:rPr>
      </w:pPr>
    </w:p>
    <w:p w14:paraId="544C6175">
      <w:pPr>
        <w:spacing w:line="360" w:lineRule="auto"/>
        <w:rPr>
          <w:rFonts w:hint="eastAsia"/>
          <w:color w:val="auto"/>
          <w:sz w:val="24"/>
          <w:highlight w:val="none"/>
        </w:rPr>
      </w:pPr>
    </w:p>
    <w:p w14:paraId="7480D705">
      <w:pPr>
        <w:spacing w:line="360" w:lineRule="auto"/>
        <w:rPr>
          <w:rFonts w:hint="eastAsia"/>
          <w:color w:val="auto"/>
          <w:sz w:val="24"/>
          <w:highlight w:val="none"/>
        </w:rPr>
      </w:pPr>
    </w:p>
    <w:p w14:paraId="3F65160C">
      <w:pPr>
        <w:spacing w:line="360" w:lineRule="auto"/>
        <w:ind w:firstLine="3720" w:firstLineChars="1550"/>
        <w:rPr>
          <w:rFonts w:hint="eastAsia"/>
          <w:color w:val="auto"/>
          <w:sz w:val="24"/>
          <w:szCs w:val="24"/>
          <w:highlight w:val="none"/>
        </w:rPr>
      </w:pPr>
    </w:p>
    <w:p w14:paraId="12B38DC0">
      <w:pPr>
        <w:spacing w:line="360" w:lineRule="auto"/>
        <w:ind w:firstLine="3720" w:firstLineChars="1550"/>
        <w:rPr>
          <w:rFonts w:hint="eastAsia"/>
          <w:color w:val="auto"/>
          <w:sz w:val="24"/>
          <w:szCs w:val="24"/>
          <w:highlight w:val="none"/>
        </w:rPr>
      </w:pPr>
    </w:p>
    <w:p w14:paraId="3AEED333">
      <w:pPr>
        <w:spacing w:line="360" w:lineRule="auto"/>
        <w:ind w:firstLine="3720" w:firstLineChars="1550"/>
        <w:rPr>
          <w:rFonts w:hint="eastAsia"/>
          <w:color w:val="auto"/>
          <w:sz w:val="24"/>
          <w:szCs w:val="24"/>
          <w:highlight w:val="none"/>
        </w:rPr>
      </w:pPr>
    </w:p>
    <w:p w14:paraId="423323F8">
      <w:pPr>
        <w:pStyle w:val="5"/>
        <w:rPr>
          <w:rFonts w:hint="eastAsia"/>
          <w:color w:val="auto"/>
          <w:sz w:val="24"/>
          <w:szCs w:val="24"/>
          <w:highlight w:val="none"/>
        </w:rPr>
      </w:pPr>
    </w:p>
    <w:p w14:paraId="02D823B0">
      <w:pPr>
        <w:pStyle w:val="2"/>
        <w:rPr>
          <w:rFonts w:hint="eastAsia"/>
          <w:color w:val="auto"/>
          <w:sz w:val="24"/>
          <w:szCs w:val="24"/>
          <w:highlight w:val="none"/>
        </w:rPr>
      </w:pPr>
    </w:p>
    <w:p w14:paraId="186B366C">
      <w:pPr>
        <w:rPr>
          <w:rFonts w:hint="eastAsia"/>
          <w:color w:val="auto"/>
          <w:sz w:val="24"/>
          <w:szCs w:val="24"/>
          <w:highlight w:val="none"/>
        </w:rPr>
      </w:pPr>
    </w:p>
    <w:p w14:paraId="6ABD442C">
      <w:pPr>
        <w:spacing w:line="360" w:lineRule="auto"/>
        <w:rPr>
          <w:rFonts w:hint="eastAsia" w:ascii="宋体" w:hAnsi="宋体"/>
          <w:color w:val="auto"/>
          <w:sz w:val="24"/>
          <w:highlight w:val="none"/>
        </w:rPr>
      </w:pPr>
    </w:p>
    <w:p w14:paraId="0E0704F9">
      <w:pPr>
        <w:spacing w:line="360" w:lineRule="auto"/>
        <w:ind w:firstLine="3120" w:firstLineChars="1300"/>
        <w:rPr>
          <w:rFonts w:hint="eastAsia" w:ascii="宋体" w:hAnsi="宋体"/>
          <w:color w:val="auto"/>
          <w:sz w:val="24"/>
          <w:highlight w:val="none"/>
        </w:rPr>
      </w:pPr>
    </w:p>
    <w:p w14:paraId="067C2466">
      <w:pPr>
        <w:spacing w:line="360" w:lineRule="auto"/>
        <w:ind w:firstLine="3120" w:firstLineChars="1300"/>
        <w:rPr>
          <w:rFonts w:hint="eastAsia" w:ascii="宋体" w:hAnsi="宋体"/>
          <w:color w:val="auto"/>
          <w:sz w:val="24"/>
          <w:highlight w:val="none"/>
        </w:rPr>
      </w:pPr>
    </w:p>
    <w:p w14:paraId="22F1173F">
      <w:pPr>
        <w:spacing w:line="360" w:lineRule="auto"/>
        <w:ind w:firstLine="3120" w:firstLineChars="13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投标供应商(盖章)：</w:t>
      </w:r>
      <w:r>
        <w:rPr>
          <w:rFonts w:hint="eastAsia" w:ascii="宋体" w:hAnsi="宋体" w:eastAsia="宋体" w:cs="宋体"/>
          <w:color w:val="auto"/>
          <w:sz w:val="24"/>
          <w:szCs w:val="24"/>
          <w:highlight w:val="none"/>
          <w:u w:val="single"/>
        </w:rPr>
        <w:t xml:space="preserve">                        </w:t>
      </w:r>
    </w:p>
    <w:p w14:paraId="76E16D2D">
      <w:pPr>
        <w:spacing w:line="360" w:lineRule="auto"/>
        <w:ind w:firstLine="3240" w:firstLineChars="135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法定代表人或其委托代理人(签章)：</w:t>
      </w:r>
      <w:r>
        <w:rPr>
          <w:rFonts w:hint="eastAsia" w:ascii="宋体" w:hAnsi="宋体" w:eastAsia="宋体" w:cs="宋体"/>
          <w:color w:val="auto"/>
          <w:sz w:val="24"/>
          <w:szCs w:val="24"/>
          <w:highlight w:val="none"/>
          <w:u w:val="single"/>
        </w:rPr>
        <w:t xml:space="preserve">                    </w:t>
      </w:r>
    </w:p>
    <w:p w14:paraId="0E0BDB0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日期：年   月   日</w:t>
      </w:r>
    </w:p>
    <w:p w14:paraId="09DA414A">
      <w:pPr>
        <w:wordWrap w:val="0"/>
        <w:spacing w:line="520" w:lineRule="exact"/>
        <w:ind w:firstLine="2108" w:firstLineChars="1000"/>
        <w:rPr>
          <w:rFonts w:hint="eastAsia" w:ascii="宋体" w:hAnsi="宋体"/>
          <w:b/>
          <w:bCs/>
          <w:color w:val="auto"/>
          <w:szCs w:val="21"/>
          <w:highlight w:val="none"/>
        </w:rPr>
      </w:pPr>
    </w:p>
    <w:p w14:paraId="3A01BEBC">
      <w:pPr>
        <w:snapToGrid w:val="0"/>
        <w:spacing w:line="520" w:lineRule="exact"/>
        <w:ind w:left="-20" w:leftChars="-72" w:right="-817" w:rightChars="-389" w:hanging="131" w:hangingChars="62"/>
        <w:rPr>
          <w:rFonts w:hint="eastAsia" w:ascii="宋体" w:hAnsi="宋体"/>
          <w:b/>
          <w:bCs/>
          <w:color w:val="auto"/>
          <w:szCs w:val="21"/>
          <w:highlight w:val="none"/>
        </w:rPr>
      </w:pPr>
    </w:p>
    <w:p w14:paraId="714B7F8B">
      <w:pPr>
        <w:snapToGrid w:val="0"/>
        <w:spacing w:line="520" w:lineRule="exact"/>
        <w:ind w:left="-20" w:leftChars="-72" w:right="-817" w:rightChars="-389" w:hanging="131" w:hangingChars="62"/>
        <w:rPr>
          <w:rFonts w:hint="eastAsia" w:ascii="宋体" w:hAnsi="宋体"/>
          <w:b/>
          <w:bCs/>
          <w:color w:val="auto"/>
          <w:szCs w:val="21"/>
          <w:highlight w:val="none"/>
        </w:rPr>
      </w:pPr>
    </w:p>
    <w:p w14:paraId="5961052E">
      <w:pPr>
        <w:snapToGrid w:val="0"/>
        <w:spacing w:line="520" w:lineRule="exact"/>
        <w:ind w:left="-20" w:leftChars="-72" w:right="-817" w:rightChars="-389" w:hanging="131" w:hangingChars="62"/>
        <w:rPr>
          <w:rFonts w:hint="eastAsia" w:ascii="宋体" w:hAnsi="宋体"/>
          <w:b/>
          <w:bCs/>
          <w:color w:val="auto"/>
          <w:szCs w:val="21"/>
          <w:highlight w:val="none"/>
        </w:rPr>
      </w:pPr>
    </w:p>
    <w:p w14:paraId="3AA9242C">
      <w:pPr>
        <w:rPr>
          <w:rFonts w:hint="eastAsia"/>
          <w:b/>
          <w:bCs/>
          <w:color w:val="auto"/>
          <w:sz w:val="28"/>
          <w:szCs w:val="28"/>
          <w:highlight w:val="none"/>
        </w:rPr>
      </w:pPr>
    </w:p>
    <w:p w14:paraId="75E4984D">
      <w:pPr>
        <w:rPr>
          <w:rFonts w:hint="eastAsia"/>
          <w:b/>
          <w:bCs/>
          <w:color w:val="auto"/>
          <w:sz w:val="28"/>
          <w:szCs w:val="28"/>
          <w:highlight w:val="none"/>
        </w:rPr>
      </w:pPr>
    </w:p>
    <w:p w14:paraId="1FC976A1">
      <w:pPr>
        <w:rPr>
          <w:rFonts w:hint="eastAsia"/>
          <w:b/>
          <w:bCs/>
          <w:color w:val="auto"/>
          <w:sz w:val="28"/>
          <w:szCs w:val="28"/>
          <w:highlight w:val="none"/>
        </w:rPr>
      </w:pPr>
    </w:p>
    <w:p w14:paraId="737860DF">
      <w:pPr>
        <w:rPr>
          <w:rFonts w:hint="eastAsia"/>
          <w:b/>
          <w:bCs/>
          <w:color w:val="auto"/>
          <w:sz w:val="28"/>
          <w:szCs w:val="28"/>
          <w:highlight w:val="none"/>
        </w:rPr>
      </w:pPr>
    </w:p>
    <w:p w14:paraId="01D208F4">
      <w:pPr>
        <w:rPr>
          <w:rFonts w:hint="eastAsia"/>
          <w:b/>
          <w:bCs/>
          <w:color w:val="auto"/>
          <w:sz w:val="28"/>
          <w:szCs w:val="28"/>
          <w:highlight w:val="none"/>
        </w:rPr>
      </w:pPr>
    </w:p>
    <w:p w14:paraId="6A06D134">
      <w:pPr>
        <w:rPr>
          <w:rFonts w:hint="eastAsia"/>
          <w:b/>
          <w:bCs/>
          <w:color w:val="auto"/>
          <w:sz w:val="28"/>
          <w:szCs w:val="28"/>
          <w:highlight w:val="none"/>
        </w:rPr>
      </w:pPr>
    </w:p>
    <w:p w14:paraId="77C3E364">
      <w:pPr>
        <w:outlineLvl w:val="0"/>
        <w:rPr>
          <w:b/>
          <w:bCs/>
          <w:color w:val="auto"/>
          <w:sz w:val="28"/>
          <w:szCs w:val="28"/>
          <w:highlight w:val="none"/>
        </w:rPr>
      </w:pPr>
      <w:bookmarkStart w:id="172" w:name="_Toc6729"/>
      <w:bookmarkStart w:id="173" w:name="_Toc7393"/>
      <w:r>
        <w:rPr>
          <w:rFonts w:hint="eastAsia"/>
          <w:b/>
          <w:bCs/>
          <w:color w:val="auto"/>
          <w:sz w:val="28"/>
          <w:szCs w:val="28"/>
          <w:highlight w:val="none"/>
        </w:rPr>
        <w:t>附件1：技术参数偏离表（格式）</w:t>
      </w:r>
      <w:bookmarkEnd w:id="172"/>
      <w:bookmarkEnd w:id="173"/>
    </w:p>
    <w:tbl>
      <w:tblPr>
        <w:tblStyle w:val="18"/>
        <w:tblW w:w="10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2230"/>
        <w:gridCol w:w="2011"/>
        <w:gridCol w:w="1914"/>
        <w:gridCol w:w="1134"/>
        <w:gridCol w:w="1134"/>
        <w:gridCol w:w="963"/>
      </w:tblGrid>
      <w:tr w14:paraId="3D91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6C438A68">
            <w:pPr>
              <w:spacing w:before="156" w:beforeLines="50" w:after="156" w:afterLines="50" w:line="360" w:lineRule="auto"/>
              <w:jc w:val="center"/>
              <w:rPr>
                <w:color w:val="auto"/>
                <w:sz w:val="24"/>
                <w:szCs w:val="24"/>
                <w:highlight w:val="none"/>
              </w:rPr>
            </w:pPr>
            <w:r>
              <w:rPr>
                <w:rFonts w:hint="eastAsia"/>
                <w:color w:val="auto"/>
                <w:sz w:val="24"/>
                <w:szCs w:val="24"/>
                <w:highlight w:val="none"/>
                <w:lang w:bidi="ar"/>
              </w:rPr>
              <w:t>序号</w:t>
            </w:r>
          </w:p>
        </w:tc>
        <w:tc>
          <w:tcPr>
            <w:tcW w:w="2230" w:type="dxa"/>
            <w:tcBorders>
              <w:top w:val="single" w:color="auto" w:sz="4" w:space="0"/>
              <w:left w:val="single" w:color="auto" w:sz="4" w:space="0"/>
              <w:bottom w:val="single" w:color="auto" w:sz="4" w:space="0"/>
              <w:right w:val="single" w:color="auto" w:sz="4" w:space="0"/>
            </w:tcBorders>
            <w:noWrap w:val="0"/>
            <w:vAlign w:val="center"/>
          </w:tcPr>
          <w:p w14:paraId="2FD0BA27">
            <w:pPr>
              <w:spacing w:before="156" w:beforeLines="50" w:after="156" w:afterLines="50" w:line="360" w:lineRule="auto"/>
              <w:jc w:val="center"/>
              <w:rPr>
                <w:color w:val="auto"/>
                <w:sz w:val="24"/>
                <w:szCs w:val="24"/>
                <w:highlight w:val="none"/>
              </w:rPr>
            </w:pPr>
            <w:r>
              <w:rPr>
                <w:rFonts w:hint="eastAsia"/>
                <w:color w:val="auto"/>
                <w:sz w:val="24"/>
                <w:szCs w:val="24"/>
                <w:highlight w:val="none"/>
                <w:lang w:bidi="ar"/>
              </w:rPr>
              <w:t>货物名称</w:t>
            </w:r>
          </w:p>
        </w:tc>
        <w:tc>
          <w:tcPr>
            <w:tcW w:w="2011" w:type="dxa"/>
            <w:tcBorders>
              <w:top w:val="single" w:color="auto" w:sz="4" w:space="0"/>
              <w:left w:val="single" w:color="auto" w:sz="4" w:space="0"/>
              <w:bottom w:val="single" w:color="auto" w:sz="4" w:space="0"/>
              <w:right w:val="single" w:color="auto" w:sz="4" w:space="0"/>
            </w:tcBorders>
            <w:noWrap w:val="0"/>
            <w:vAlign w:val="center"/>
          </w:tcPr>
          <w:p w14:paraId="28008204">
            <w:pPr>
              <w:spacing w:before="156" w:beforeLines="50" w:after="156" w:afterLines="50" w:line="360" w:lineRule="auto"/>
              <w:jc w:val="center"/>
              <w:rPr>
                <w:color w:val="auto"/>
                <w:sz w:val="24"/>
                <w:szCs w:val="24"/>
                <w:highlight w:val="none"/>
              </w:rPr>
            </w:pPr>
            <w:r>
              <w:rPr>
                <w:rFonts w:hint="eastAsia"/>
                <w:color w:val="auto"/>
                <w:sz w:val="24"/>
                <w:szCs w:val="24"/>
                <w:highlight w:val="none"/>
              </w:rPr>
              <w:t>招标技术参数要求</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1FC0C23F">
            <w:pPr>
              <w:spacing w:before="156" w:beforeLines="50" w:after="156" w:afterLines="50" w:line="360" w:lineRule="auto"/>
              <w:jc w:val="center"/>
              <w:rPr>
                <w:color w:val="auto"/>
                <w:sz w:val="24"/>
                <w:szCs w:val="24"/>
                <w:highlight w:val="none"/>
              </w:rPr>
            </w:pPr>
            <w:r>
              <w:rPr>
                <w:rFonts w:hint="eastAsia"/>
                <w:color w:val="auto"/>
                <w:sz w:val="24"/>
                <w:szCs w:val="24"/>
                <w:highlight w:val="none"/>
              </w:rPr>
              <w:t>投标品牌和型号</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2A96B25">
            <w:pPr>
              <w:jc w:val="center"/>
              <w:rPr>
                <w:rFonts w:hint="eastAsia"/>
                <w:color w:val="auto"/>
                <w:sz w:val="24"/>
                <w:szCs w:val="24"/>
                <w:highlight w:val="none"/>
                <w:lang w:bidi="ar"/>
              </w:rPr>
            </w:pPr>
            <w:r>
              <w:rPr>
                <w:rFonts w:hint="eastAsia"/>
                <w:color w:val="auto"/>
                <w:sz w:val="24"/>
                <w:szCs w:val="24"/>
                <w:highlight w:val="none"/>
              </w:rPr>
              <w:t>投标产品技术参数</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BF74FAF">
            <w:pPr>
              <w:spacing w:before="156" w:beforeLines="50" w:after="156" w:afterLines="50" w:line="360" w:lineRule="auto"/>
              <w:jc w:val="center"/>
              <w:rPr>
                <w:color w:val="auto"/>
                <w:sz w:val="24"/>
                <w:szCs w:val="24"/>
                <w:highlight w:val="none"/>
              </w:rPr>
            </w:pPr>
            <w:r>
              <w:rPr>
                <w:rFonts w:hint="eastAsia"/>
                <w:color w:val="auto"/>
                <w:sz w:val="24"/>
                <w:szCs w:val="24"/>
                <w:highlight w:val="none"/>
                <w:lang w:bidi="ar"/>
              </w:rPr>
              <w:t>偏离</w:t>
            </w:r>
          </w:p>
          <w:p w14:paraId="1D9D4AC6">
            <w:pPr>
              <w:spacing w:before="156" w:beforeLines="50" w:after="156" w:afterLines="50" w:line="360" w:lineRule="auto"/>
              <w:jc w:val="center"/>
              <w:rPr>
                <w:color w:val="auto"/>
                <w:sz w:val="24"/>
                <w:szCs w:val="24"/>
                <w:highlight w:val="none"/>
              </w:rPr>
            </w:pPr>
            <w:r>
              <w:rPr>
                <w:rFonts w:hint="eastAsia"/>
                <w:color w:val="auto"/>
                <w:sz w:val="24"/>
                <w:szCs w:val="24"/>
                <w:highlight w:val="none"/>
                <w:lang w:bidi="ar"/>
              </w:rPr>
              <w:t>(正/负)</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4319A72E">
            <w:pPr>
              <w:spacing w:before="156" w:beforeLines="50" w:after="156" w:afterLines="50" w:line="360" w:lineRule="auto"/>
              <w:jc w:val="center"/>
              <w:rPr>
                <w:color w:val="auto"/>
                <w:sz w:val="24"/>
                <w:szCs w:val="24"/>
                <w:highlight w:val="none"/>
              </w:rPr>
            </w:pPr>
            <w:r>
              <w:rPr>
                <w:rFonts w:hint="eastAsia"/>
                <w:color w:val="auto"/>
                <w:sz w:val="24"/>
                <w:szCs w:val="24"/>
                <w:highlight w:val="none"/>
                <w:lang w:bidi="ar"/>
              </w:rPr>
              <w:t>备注</w:t>
            </w:r>
          </w:p>
        </w:tc>
      </w:tr>
      <w:tr w14:paraId="43C8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6DB66B56">
            <w:pPr>
              <w:spacing w:before="156" w:beforeLines="50" w:after="156" w:afterLines="50" w:line="360" w:lineRule="auto"/>
              <w:jc w:val="center"/>
              <w:rPr>
                <w:color w:val="auto"/>
                <w:sz w:val="24"/>
                <w:highlight w:val="none"/>
              </w:rPr>
            </w:pPr>
            <w:r>
              <w:rPr>
                <w:rFonts w:hint="eastAsia"/>
                <w:color w:val="auto"/>
                <w:sz w:val="24"/>
                <w:highlight w:val="none"/>
                <w:lang w:bidi="ar"/>
              </w:rPr>
              <w:t>1</w:t>
            </w:r>
          </w:p>
        </w:tc>
        <w:tc>
          <w:tcPr>
            <w:tcW w:w="2230" w:type="dxa"/>
            <w:tcBorders>
              <w:top w:val="single" w:color="auto" w:sz="4" w:space="0"/>
              <w:left w:val="single" w:color="auto" w:sz="4" w:space="0"/>
              <w:bottom w:val="single" w:color="auto" w:sz="4" w:space="0"/>
              <w:right w:val="single" w:color="auto" w:sz="4" w:space="0"/>
            </w:tcBorders>
            <w:noWrap w:val="0"/>
            <w:vAlign w:val="center"/>
          </w:tcPr>
          <w:p w14:paraId="484A2BD6">
            <w:pPr>
              <w:spacing w:line="360" w:lineRule="auto"/>
              <w:jc w:val="center"/>
              <w:rPr>
                <w:color w:val="auto"/>
                <w:sz w:val="24"/>
                <w:highlight w:val="none"/>
              </w:rPr>
            </w:pPr>
          </w:p>
        </w:tc>
        <w:tc>
          <w:tcPr>
            <w:tcW w:w="2011" w:type="dxa"/>
            <w:tcBorders>
              <w:top w:val="single" w:color="auto" w:sz="4" w:space="0"/>
              <w:left w:val="single" w:color="auto" w:sz="4" w:space="0"/>
              <w:bottom w:val="single" w:color="auto" w:sz="4" w:space="0"/>
              <w:right w:val="single" w:color="auto" w:sz="4" w:space="0"/>
            </w:tcBorders>
            <w:noWrap w:val="0"/>
            <w:vAlign w:val="center"/>
          </w:tcPr>
          <w:p w14:paraId="0D2B4294">
            <w:pPr>
              <w:spacing w:line="360" w:lineRule="auto"/>
              <w:jc w:val="center"/>
              <w:rPr>
                <w:color w:val="auto"/>
                <w:sz w:val="24"/>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A14BF4A">
            <w:pPr>
              <w:spacing w:line="360" w:lineRule="auto"/>
              <w:jc w:val="center"/>
              <w:rPr>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1CB43EC">
            <w:pPr>
              <w:spacing w:line="360" w:lineRule="auto"/>
              <w:jc w:val="center"/>
              <w:rPr>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6D34B9A">
            <w:pPr>
              <w:spacing w:line="360" w:lineRule="auto"/>
              <w:jc w:val="center"/>
              <w:rPr>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72D1A474">
            <w:pPr>
              <w:spacing w:line="360" w:lineRule="auto"/>
              <w:jc w:val="center"/>
              <w:rPr>
                <w:color w:val="auto"/>
                <w:sz w:val="24"/>
                <w:highlight w:val="none"/>
              </w:rPr>
            </w:pPr>
          </w:p>
        </w:tc>
      </w:tr>
      <w:tr w14:paraId="0450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1BA0947F">
            <w:pPr>
              <w:spacing w:before="156" w:beforeLines="50" w:after="156" w:afterLines="50" w:line="360" w:lineRule="auto"/>
              <w:jc w:val="center"/>
              <w:rPr>
                <w:color w:val="auto"/>
                <w:sz w:val="24"/>
                <w:highlight w:val="none"/>
              </w:rPr>
            </w:pPr>
            <w:r>
              <w:rPr>
                <w:rFonts w:hint="eastAsia"/>
                <w:color w:val="auto"/>
                <w:sz w:val="24"/>
                <w:highlight w:val="none"/>
                <w:lang w:bidi="ar"/>
              </w:rPr>
              <w:t>2</w:t>
            </w:r>
          </w:p>
        </w:tc>
        <w:tc>
          <w:tcPr>
            <w:tcW w:w="2230" w:type="dxa"/>
            <w:tcBorders>
              <w:top w:val="single" w:color="auto" w:sz="4" w:space="0"/>
              <w:left w:val="single" w:color="auto" w:sz="4" w:space="0"/>
              <w:bottom w:val="single" w:color="auto" w:sz="4" w:space="0"/>
              <w:right w:val="single" w:color="auto" w:sz="4" w:space="0"/>
            </w:tcBorders>
            <w:noWrap w:val="0"/>
            <w:vAlign w:val="center"/>
          </w:tcPr>
          <w:p w14:paraId="57A6B208">
            <w:pPr>
              <w:spacing w:line="360" w:lineRule="auto"/>
              <w:jc w:val="center"/>
              <w:rPr>
                <w:color w:val="auto"/>
                <w:sz w:val="24"/>
                <w:highlight w:val="none"/>
              </w:rPr>
            </w:pPr>
          </w:p>
        </w:tc>
        <w:tc>
          <w:tcPr>
            <w:tcW w:w="2011" w:type="dxa"/>
            <w:tcBorders>
              <w:top w:val="single" w:color="auto" w:sz="4" w:space="0"/>
              <w:left w:val="single" w:color="auto" w:sz="4" w:space="0"/>
              <w:bottom w:val="single" w:color="auto" w:sz="4" w:space="0"/>
              <w:right w:val="single" w:color="auto" w:sz="4" w:space="0"/>
            </w:tcBorders>
            <w:noWrap w:val="0"/>
            <w:vAlign w:val="center"/>
          </w:tcPr>
          <w:p w14:paraId="3DAEA12E">
            <w:pPr>
              <w:spacing w:line="360" w:lineRule="auto"/>
              <w:jc w:val="center"/>
              <w:rPr>
                <w:color w:val="auto"/>
                <w:sz w:val="24"/>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5D90973">
            <w:pPr>
              <w:spacing w:line="360" w:lineRule="auto"/>
              <w:jc w:val="center"/>
              <w:rPr>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64DECEF7">
            <w:pPr>
              <w:spacing w:line="360" w:lineRule="auto"/>
              <w:jc w:val="center"/>
              <w:rPr>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9FDF4CD">
            <w:pPr>
              <w:spacing w:line="360" w:lineRule="auto"/>
              <w:jc w:val="center"/>
              <w:rPr>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14DDD02E">
            <w:pPr>
              <w:spacing w:line="360" w:lineRule="auto"/>
              <w:jc w:val="center"/>
              <w:rPr>
                <w:color w:val="auto"/>
                <w:sz w:val="24"/>
                <w:highlight w:val="none"/>
              </w:rPr>
            </w:pPr>
          </w:p>
        </w:tc>
      </w:tr>
      <w:tr w14:paraId="50CE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7286B851">
            <w:pPr>
              <w:spacing w:before="156" w:beforeLines="50" w:after="156" w:afterLines="50" w:line="360" w:lineRule="auto"/>
              <w:jc w:val="center"/>
              <w:rPr>
                <w:color w:val="auto"/>
                <w:sz w:val="24"/>
                <w:highlight w:val="none"/>
              </w:rPr>
            </w:pPr>
            <w:r>
              <w:rPr>
                <w:rFonts w:hint="eastAsia"/>
                <w:color w:val="auto"/>
                <w:sz w:val="24"/>
                <w:highlight w:val="none"/>
                <w:lang w:bidi="ar"/>
              </w:rPr>
              <w:t>3</w:t>
            </w:r>
          </w:p>
        </w:tc>
        <w:tc>
          <w:tcPr>
            <w:tcW w:w="2230" w:type="dxa"/>
            <w:tcBorders>
              <w:top w:val="single" w:color="auto" w:sz="4" w:space="0"/>
              <w:left w:val="single" w:color="auto" w:sz="4" w:space="0"/>
              <w:bottom w:val="single" w:color="auto" w:sz="4" w:space="0"/>
              <w:right w:val="single" w:color="auto" w:sz="4" w:space="0"/>
            </w:tcBorders>
            <w:noWrap w:val="0"/>
            <w:vAlign w:val="center"/>
          </w:tcPr>
          <w:p w14:paraId="53D93FB8">
            <w:pPr>
              <w:spacing w:line="360" w:lineRule="auto"/>
              <w:jc w:val="center"/>
              <w:rPr>
                <w:color w:val="auto"/>
                <w:sz w:val="24"/>
                <w:highlight w:val="none"/>
              </w:rPr>
            </w:pPr>
          </w:p>
        </w:tc>
        <w:tc>
          <w:tcPr>
            <w:tcW w:w="2011" w:type="dxa"/>
            <w:tcBorders>
              <w:top w:val="single" w:color="auto" w:sz="4" w:space="0"/>
              <w:left w:val="single" w:color="auto" w:sz="4" w:space="0"/>
              <w:bottom w:val="single" w:color="auto" w:sz="4" w:space="0"/>
              <w:right w:val="single" w:color="auto" w:sz="4" w:space="0"/>
            </w:tcBorders>
            <w:noWrap w:val="0"/>
            <w:vAlign w:val="center"/>
          </w:tcPr>
          <w:p w14:paraId="0BC9A869">
            <w:pPr>
              <w:spacing w:line="360" w:lineRule="auto"/>
              <w:jc w:val="center"/>
              <w:rPr>
                <w:color w:val="auto"/>
                <w:sz w:val="24"/>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5B9CD971">
            <w:pPr>
              <w:spacing w:line="360" w:lineRule="auto"/>
              <w:jc w:val="center"/>
              <w:rPr>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F30EF7B">
            <w:pPr>
              <w:spacing w:line="360" w:lineRule="auto"/>
              <w:jc w:val="center"/>
              <w:rPr>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8FC60CB">
            <w:pPr>
              <w:spacing w:line="360" w:lineRule="auto"/>
              <w:jc w:val="center"/>
              <w:rPr>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33E4044F">
            <w:pPr>
              <w:spacing w:line="360" w:lineRule="auto"/>
              <w:jc w:val="center"/>
              <w:rPr>
                <w:color w:val="auto"/>
                <w:sz w:val="24"/>
                <w:highlight w:val="none"/>
              </w:rPr>
            </w:pPr>
          </w:p>
        </w:tc>
      </w:tr>
      <w:tr w14:paraId="0C53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7DED4AA0">
            <w:pPr>
              <w:spacing w:before="156" w:beforeLines="50" w:after="156" w:afterLines="50" w:line="360" w:lineRule="auto"/>
              <w:jc w:val="center"/>
              <w:rPr>
                <w:color w:val="auto"/>
                <w:sz w:val="24"/>
                <w:highlight w:val="none"/>
              </w:rPr>
            </w:pPr>
            <w:r>
              <w:rPr>
                <w:rFonts w:hint="eastAsia"/>
                <w:color w:val="auto"/>
                <w:sz w:val="24"/>
                <w:highlight w:val="none"/>
                <w:lang w:bidi="ar"/>
              </w:rPr>
              <w:t>…</w:t>
            </w:r>
          </w:p>
        </w:tc>
        <w:tc>
          <w:tcPr>
            <w:tcW w:w="2230" w:type="dxa"/>
            <w:tcBorders>
              <w:top w:val="single" w:color="auto" w:sz="4" w:space="0"/>
              <w:left w:val="single" w:color="auto" w:sz="4" w:space="0"/>
              <w:bottom w:val="single" w:color="auto" w:sz="4" w:space="0"/>
              <w:right w:val="single" w:color="auto" w:sz="4" w:space="0"/>
            </w:tcBorders>
            <w:noWrap w:val="0"/>
            <w:vAlign w:val="center"/>
          </w:tcPr>
          <w:p w14:paraId="428B47CC">
            <w:pPr>
              <w:spacing w:line="360" w:lineRule="auto"/>
              <w:jc w:val="center"/>
              <w:rPr>
                <w:color w:val="auto"/>
                <w:sz w:val="24"/>
                <w:highlight w:val="none"/>
              </w:rPr>
            </w:pPr>
          </w:p>
        </w:tc>
        <w:tc>
          <w:tcPr>
            <w:tcW w:w="2011" w:type="dxa"/>
            <w:tcBorders>
              <w:top w:val="single" w:color="auto" w:sz="4" w:space="0"/>
              <w:left w:val="single" w:color="auto" w:sz="4" w:space="0"/>
              <w:bottom w:val="single" w:color="auto" w:sz="4" w:space="0"/>
              <w:right w:val="single" w:color="auto" w:sz="4" w:space="0"/>
            </w:tcBorders>
            <w:noWrap w:val="0"/>
            <w:vAlign w:val="center"/>
          </w:tcPr>
          <w:p w14:paraId="56B8A73A">
            <w:pPr>
              <w:spacing w:line="360" w:lineRule="auto"/>
              <w:jc w:val="center"/>
              <w:rPr>
                <w:color w:val="auto"/>
                <w:sz w:val="24"/>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38B9C299">
            <w:pPr>
              <w:spacing w:line="360" w:lineRule="auto"/>
              <w:jc w:val="center"/>
              <w:rPr>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C43DCBF">
            <w:pPr>
              <w:spacing w:line="360" w:lineRule="auto"/>
              <w:jc w:val="center"/>
              <w:rPr>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63B74E7">
            <w:pPr>
              <w:spacing w:line="360" w:lineRule="auto"/>
              <w:jc w:val="center"/>
              <w:rPr>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311B7239">
            <w:pPr>
              <w:spacing w:line="360" w:lineRule="auto"/>
              <w:jc w:val="center"/>
              <w:rPr>
                <w:color w:val="auto"/>
                <w:sz w:val="24"/>
                <w:highlight w:val="none"/>
              </w:rPr>
            </w:pPr>
          </w:p>
        </w:tc>
      </w:tr>
      <w:tr w14:paraId="20344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0A51345F">
            <w:pPr>
              <w:spacing w:before="156" w:beforeLines="50" w:after="156" w:afterLines="50" w:line="360" w:lineRule="auto"/>
              <w:jc w:val="center"/>
              <w:rPr>
                <w:color w:val="auto"/>
                <w:sz w:val="24"/>
                <w:highlight w:val="none"/>
              </w:rPr>
            </w:pPr>
          </w:p>
        </w:tc>
        <w:tc>
          <w:tcPr>
            <w:tcW w:w="2230" w:type="dxa"/>
            <w:tcBorders>
              <w:top w:val="single" w:color="auto" w:sz="4" w:space="0"/>
              <w:left w:val="single" w:color="auto" w:sz="4" w:space="0"/>
              <w:bottom w:val="single" w:color="auto" w:sz="4" w:space="0"/>
              <w:right w:val="single" w:color="auto" w:sz="4" w:space="0"/>
            </w:tcBorders>
            <w:noWrap w:val="0"/>
            <w:vAlign w:val="center"/>
          </w:tcPr>
          <w:p w14:paraId="44FA05CF">
            <w:pPr>
              <w:spacing w:line="360" w:lineRule="auto"/>
              <w:jc w:val="center"/>
              <w:rPr>
                <w:color w:val="auto"/>
                <w:sz w:val="24"/>
                <w:highlight w:val="none"/>
              </w:rPr>
            </w:pPr>
          </w:p>
        </w:tc>
        <w:tc>
          <w:tcPr>
            <w:tcW w:w="2011" w:type="dxa"/>
            <w:tcBorders>
              <w:top w:val="single" w:color="auto" w:sz="4" w:space="0"/>
              <w:left w:val="single" w:color="auto" w:sz="4" w:space="0"/>
              <w:bottom w:val="single" w:color="auto" w:sz="4" w:space="0"/>
              <w:right w:val="single" w:color="auto" w:sz="4" w:space="0"/>
            </w:tcBorders>
            <w:noWrap w:val="0"/>
            <w:vAlign w:val="center"/>
          </w:tcPr>
          <w:p w14:paraId="59A2C472">
            <w:pPr>
              <w:spacing w:line="360" w:lineRule="auto"/>
              <w:jc w:val="center"/>
              <w:rPr>
                <w:color w:val="auto"/>
                <w:sz w:val="24"/>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7A2C47AE">
            <w:pPr>
              <w:spacing w:line="360" w:lineRule="auto"/>
              <w:jc w:val="center"/>
              <w:rPr>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32D89C3">
            <w:pPr>
              <w:spacing w:line="360" w:lineRule="auto"/>
              <w:jc w:val="center"/>
              <w:rPr>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8DBE71D">
            <w:pPr>
              <w:spacing w:line="360" w:lineRule="auto"/>
              <w:jc w:val="center"/>
              <w:rPr>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600D407F">
            <w:pPr>
              <w:spacing w:line="360" w:lineRule="auto"/>
              <w:jc w:val="center"/>
              <w:rPr>
                <w:color w:val="auto"/>
                <w:sz w:val="24"/>
                <w:highlight w:val="none"/>
              </w:rPr>
            </w:pPr>
          </w:p>
        </w:tc>
      </w:tr>
      <w:tr w14:paraId="4CD0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45287A4D">
            <w:pPr>
              <w:spacing w:before="156" w:beforeLines="50" w:after="156" w:afterLines="50" w:line="360" w:lineRule="auto"/>
              <w:jc w:val="center"/>
              <w:rPr>
                <w:color w:val="auto"/>
                <w:sz w:val="24"/>
                <w:highlight w:val="none"/>
              </w:rPr>
            </w:pPr>
          </w:p>
        </w:tc>
        <w:tc>
          <w:tcPr>
            <w:tcW w:w="2230" w:type="dxa"/>
            <w:tcBorders>
              <w:top w:val="single" w:color="auto" w:sz="4" w:space="0"/>
              <w:left w:val="single" w:color="auto" w:sz="4" w:space="0"/>
              <w:bottom w:val="single" w:color="auto" w:sz="4" w:space="0"/>
              <w:right w:val="single" w:color="auto" w:sz="4" w:space="0"/>
            </w:tcBorders>
            <w:noWrap w:val="0"/>
            <w:vAlign w:val="center"/>
          </w:tcPr>
          <w:p w14:paraId="5702E1E3">
            <w:pPr>
              <w:spacing w:line="360" w:lineRule="auto"/>
              <w:jc w:val="center"/>
              <w:rPr>
                <w:color w:val="auto"/>
                <w:sz w:val="24"/>
                <w:highlight w:val="none"/>
              </w:rPr>
            </w:pPr>
          </w:p>
        </w:tc>
        <w:tc>
          <w:tcPr>
            <w:tcW w:w="2011" w:type="dxa"/>
            <w:tcBorders>
              <w:top w:val="single" w:color="auto" w:sz="4" w:space="0"/>
              <w:left w:val="single" w:color="auto" w:sz="4" w:space="0"/>
              <w:bottom w:val="single" w:color="auto" w:sz="4" w:space="0"/>
              <w:right w:val="single" w:color="auto" w:sz="4" w:space="0"/>
            </w:tcBorders>
            <w:noWrap w:val="0"/>
            <w:vAlign w:val="center"/>
          </w:tcPr>
          <w:p w14:paraId="4860104D">
            <w:pPr>
              <w:spacing w:line="360" w:lineRule="auto"/>
              <w:jc w:val="center"/>
              <w:rPr>
                <w:color w:val="auto"/>
                <w:sz w:val="24"/>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8048421">
            <w:pPr>
              <w:spacing w:line="360" w:lineRule="auto"/>
              <w:jc w:val="center"/>
              <w:rPr>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6D33760C">
            <w:pPr>
              <w:spacing w:line="360" w:lineRule="auto"/>
              <w:jc w:val="center"/>
              <w:rPr>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33117BF">
            <w:pPr>
              <w:spacing w:line="360" w:lineRule="auto"/>
              <w:jc w:val="center"/>
              <w:rPr>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643A34C2">
            <w:pPr>
              <w:spacing w:line="360" w:lineRule="auto"/>
              <w:jc w:val="center"/>
              <w:rPr>
                <w:color w:val="auto"/>
                <w:sz w:val="24"/>
                <w:highlight w:val="none"/>
              </w:rPr>
            </w:pPr>
          </w:p>
        </w:tc>
      </w:tr>
      <w:tr w14:paraId="23D6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16129592">
            <w:pPr>
              <w:spacing w:before="156" w:beforeLines="50" w:after="156" w:afterLines="50" w:line="360" w:lineRule="auto"/>
              <w:jc w:val="center"/>
              <w:rPr>
                <w:color w:val="auto"/>
                <w:sz w:val="24"/>
                <w:highlight w:val="none"/>
              </w:rPr>
            </w:pPr>
          </w:p>
        </w:tc>
        <w:tc>
          <w:tcPr>
            <w:tcW w:w="2230" w:type="dxa"/>
            <w:tcBorders>
              <w:top w:val="single" w:color="auto" w:sz="4" w:space="0"/>
              <w:left w:val="single" w:color="auto" w:sz="4" w:space="0"/>
              <w:bottom w:val="single" w:color="auto" w:sz="4" w:space="0"/>
              <w:right w:val="single" w:color="auto" w:sz="4" w:space="0"/>
            </w:tcBorders>
            <w:noWrap w:val="0"/>
            <w:vAlign w:val="center"/>
          </w:tcPr>
          <w:p w14:paraId="4315EF0C">
            <w:pPr>
              <w:spacing w:line="360" w:lineRule="auto"/>
              <w:jc w:val="center"/>
              <w:rPr>
                <w:color w:val="auto"/>
                <w:sz w:val="24"/>
                <w:highlight w:val="none"/>
              </w:rPr>
            </w:pPr>
          </w:p>
        </w:tc>
        <w:tc>
          <w:tcPr>
            <w:tcW w:w="2011" w:type="dxa"/>
            <w:tcBorders>
              <w:top w:val="single" w:color="auto" w:sz="4" w:space="0"/>
              <w:left w:val="single" w:color="auto" w:sz="4" w:space="0"/>
              <w:bottom w:val="single" w:color="auto" w:sz="4" w:space="0"/>
              <w:right w:val="single" w:color="auto" w:sz="4" w:space="0"/>
            </w:tcBorders>
            <w:noWrap w:val="0"/>
            <w:vAlign w:val="center"/>
          </w:tcPr>
          <w:p w14:paraId="0641C1A4">
            <w:pPr>
              <w:spacing w:line="360" w:lineRule="auto"/>
              <w:jc w:val="center"/>
              <w:rPr>
                <w:color w:val="auto"/>
                <w:sz w:val="24"/>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1409947">
            <w:pPr>
              <w:spacing w:line="360" w:lineRule="auto"/>
              <w:jc w:val="center"/>
              <w:rPr>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BFFE560">
            <w:pPr>
              <w:spacing w:line="360" w:lineRule="auto"/>
              <w:jc w:val="center"/>
              <w:rPr>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D7D6641">
            <w:pPr>
              <w:spacing w:line="360" w:lineRule="auto"/>
              <w:jc w:val="center"/>
              <w:rPr>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71637D54">
            <w:pPr>
              <w:spacing w:line="360" w:lineRule="auto"/>
              <w:jc w:val="center"/>
              <w:rPr>
                <w:color w:val="auto"/>
                <w:sz w:val="24"/>
                <w:highlight w:val="none"/>
              </w:rPr>
            </w:pPr>
          </w:p>
        </w:tc>
      </w:tr>
      <w:tr w14:paraId="00A9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3554A0BE">
            <w:pPr>
              <w:spacing w:before="156" w:beforeLines="50" w:after="156" w:afterLines="50" w:line="360" w:lineRule="auto"/>
              <w:jc w:val="center"/>
              <w:rPr>
                <w:color w:val="auto"/>
                <w:sz w:val="24"/>
                <w:highlight w:val="none"/>
              </w:rPr>
            </w:pPr>
          </w:p>
        </w:tc>
        <w:tc>
          <w:tcPr>
            <w:tcW w:w="2230" w:type="dxa"/>
            <w:tcBorders>
              <w:top w:val="single" w:color="auto" w:sz="4" w:space="0"/>
              <w:left w:val="single" w:color="auto" w:sz="4" w:space="0"/>
              <w:bottom w:val="single" w:color="auto" w:sz="4" w:space="0"/>
              <w:right w:val="single" w:color="auto" w:sz="4" w:space="0"/>
            </w:tcBorders>
            <w:noWrap w:val="0"/>
            <w:vAlign w:val="center"/>
          </w:tcPr>
          <w:p w14:paraId="0690FB88">
            <w:pPr>
              <w:spacing w:line="360" w:lineRule="auto"/>
              <w:jc w:val="center"/>
              <w:rPr>
                <w:color w:val="auto"/>
                <w:sz w:val="24"/>
                <w:highlight w:val="none"/>
              </w:rPr>
            </w:pPr>
          </w:p>
        </w:tc>
        <w:tc>
          <w:tcPr>
            <w:tcW w:w="2011" w:type="dxa"/>
            <w:tcBorders>
              <w:top w:val="single" w:color="auto" w:sz="4" w:space="0"/>
              <w:left w:val="single" w:color="auto" w:sz="4" w:space="0"/>
              <w:bottom w:val="single" w:color="auto" w:sz="4" w:space="0"/>
              <w:right w:val="single" w:color="auto" w:sz="4" w:space="0"/>
            </w:tcBorders>
            <w:noWrap w:val="0"/>
            <w:vAlign w:val="center"/>
          </w:tcPr>
          <w:p w14:paraId="4545AFF3">
            <w:pPr>
              <w:spacing w:line="360" w:lineRule="auto"/>
              <w:jc w:val="center"/>
              <w:rPr>
                <w:color w:val="auto"/>
                <w:sz w:val="24"/>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7F4A85AF">
            <w:pPr>
              <w:spacing w:line="360" w:lineRule="auto"/>
              <w:jc w:val="center"/>
              <w:rPr>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4E082A82">
            <w:pPr>
              <w:spacing w:line="360" w:lineRule="auto"/>
              <w:jc w:val="center"/>
              <w:rPr>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19B0DC2">
            <w:pPr>
              <w:spacing w:line="360" w:lineRule="auto"/>
              <w:jc w:val="center"/>
              <w:rPr>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5121526D">
            <w:pPr>
              <w:spacing w:line="360" w:lineRule="auto"/>
              <w:jc w:val="center"/>
              <w:rPr>
                <w:color w:val="auto"/>
                <w:sz w:val="24"/>
                <w:highlight w:val="none"/>
              </w:rPr>
            </w:pPr>
          </w:p>
        </w:tc>
      </w:tr>
    </w:tbl>
    <w:p w14:paraId="5424BDB5">
      <w:pPr>
        <w:spacing w:line="360" w:lineRule="auto"/>
        <w:ind w:firstLine="3720" w:firstLineChars="1550"/>
        <w:rPr>
          <w:rFonts w:hint="eastAsia"/>
          <w:color w:val="auto"/>
          <w:sz w:val="24"/>
          <w:szCs w:val="24"/>
          <w:highlight w:val="none"/>
        </w:rPr>
      </w:pPr>
    </w:p>
    <w:p w14:paraId="73571F9E">
      <w:pPr>
        <w:spacing w:line="360" w:lineRule="auto"/>
        <w:ind w:firstLine="4200" w:firstLineChars="1750"/>
        <w:rPr>
          <w:rFonts w:hint="eastAsia"/>
          <w:color w:val="auto"/>
          <w:sz w:val="24"/>
          <w:szCs w:val="24"/>
          <w:highlight w:val="none"/>
        </w:rPr>
      </w:pPr>
      <w:r>
        <w:rPr>
          <w:rFonts w:hint="eastAsia"/>
          <w:color w:val="auto"/>
          <w:sz w:val="24"/>
          <w:szCs w:val="24"/>
          <w:highlight w:val="none"/>
          <w:lang w:val="en-US" w:eastAsia="zh-CN"/>
        </w:rPr>
        <w:t>投标</w:t>
      </w:r>
      <w:r>
        <w:rPr>
          <w:rFonts w:hint="eastAsia"/>
          <w:color w:val="auto"/>
          <w:sz w:val="24"/>
          <w:szCs w:val="24"/>
          <w:highlight w:val="none"/>
        </w:rPr>
        <w:t>供应商(盖章)：</w:t>
      </w:r>
      <w:r>
        <w:rPr>
          <w:rFonts w:hint="eastAsia"/>
          <w:color w:val="auto"/>
          <w:sz w:val="24"/>
          <w:szCs w:val="24"/>
          <w:highlight w:val="none"/>
          <w:u w:val="single"/>
        </w:rPr>
        <w:t xml:space="preserve">              </w:t>
      </w:r>
    </w:p>
    <w:p w14:paraId="5FADC9D8">
      <w:pPr>
        <w:spacing w:line="360" w:lineRule="auto"/>
        <w:ind w:firstLine="480" w:firstLineChars="200"/>
        <w:rPr>
          <w:rFonts w:hint="eastAsia"/>
          <w:color w:val="auto"/>
          <w:sz w:val="24"/>
          <w:szCs w:val="24"/>
          <w:highlight w:val="none"/>
        </w:rPr>
      </w:pPr>
      <w:r>
        <w:rPr>
          <w:rFonts w:hint="eastAsia"/>
          <w:color w:val="auto"/>
          <w:sz w:val="24"/>
          <w:szCs w:val="24"/>
          <w:highlight w:val="none"/>
        </w:rPr>
        <w:t>法定代表人或其委托代理人(签字或盖章)：</w:t>
      </w:r>
      <w:r>
        <w:rPr>
          <w:rFonts w:hint="eastAsia"/>
          <w:color w:val="auto"/>
          <w:sz w:val="24"/>
          <w:szCs w:val="24"/>
          <w:highlight w:val="none"/>
          <w:u w:val="single"/>
        </w:rPr>
        <w:t xml:space="preserve">          </w:t>
      </w:r>
    </w:p>
    <w:p w14:paraId="1AD8C893">
      <w:pPr>
        <w:spacing w:line="360" w:lineRule="auto"/>
        <w:ind w:firstLine="4200" w:firstLineChars="1750"/>
        <w:rPr>
          <w:color w:val="auto"/>
          <w:sz w:val="24"/>
          <w:szCs w:val="24"/>
          <w:highlight w:val="none"/>
        </w:rPr>
      </w:pPr>
      <w:r>
        <w:rPr>
          <w:rFonts w:hint="eastAsia"/>
          <w:color w:val="auto"/>
          <w:sz w:val="24"/>
          <w:szCs w:val="24"/>
          <w:highlight w:val="none"/>
        </w:rPr>
        <w:t>日    期：    年   月   日</w:t>
      </w:r>
    </w:p>
    <w:p w14:paraId="78FB643D">
      <w:pPr>
        <w:keepNext w:val="0"/>
        <w:keepLines w:val="0"/>
        <w:pageBreakBefore w:val="0"/>
        <w:widowControl w:val="0"/>
        <w:kinsoku/>
        <w:wordWrap w:val="0"/>
        <w:overflowPunct/>
        <w:topLinePunct w:val="0"/>
        <w:autoSpaceDE w:val="0"/>
        <w:autoSpaceDN w:val="0"/>
        <w:bidi w:val="0"/>
        <w:adjustRightInd/>
        <w:snapToGrid w:val="0"/>
        <w:spacing w:line="580" w:lineRule="exact"/>
        <w:ind w:right="-817" w:rightChars="-389"/>
        <w:textAlignment w:val="auto"/>
        <w:rPr>
          <w:rFonts w:hint="eastAsia" w:ascii="宋体" w:hAnsi="宋体" w:eastAsia="宋体" w:cs="宋体"/>
          <w:b w:val="0"/>
          <w:bCs/>
          <w:color w:val="auto"/>
          <w:sz w:val="22"/>
          <w:szCs w:val="24"/>
          <w:highlight w:val="none"/>
          <w:lang w:bidi="ar"/>
        </w:rPr>
      </w:pPr>
      <w:r>
        <w:rPr>
          <w:rFonts w:hint="eastAsia" w:ascii="宋体" w:hAnsi="宋体" w:eastAsia="宋体" w:cs="宋体"/>
          <w:b w:val="0"/>
          <w:bCs/>
          <w:color w:val="auto"/>
          <w:sz w:val="22"/>
          <w:szCs w:val="24"/>
          <w:highlight w:val="none"/>
          <w:lang w:bidi="ar"/>
        </w:rPr>
        <w:t>注：供应商应对照</w:t>
      </w:r>
      <w:r>
        <w:rPr>
          <w:rFonts w:hint="eastAsia" w:ascii="宋体" w:hAnsi="宋体" w:eastAsia="宋体" w:cs="宋体"/>
          <w:b w:val="0"/>
          <w:bCs/>
          <w:color w:val="auto"/>
          <w:sz w:val="22"/>
          <w:szCs w:val="24"/>
          <w:highlight w:val="none"/>
          <w:lang w:val="en-US" w:eastAsia="zh-CN" w:bidi="ar"/>
        </w:rPr>
        <w:t>招标</w:t>
      </w:r>
      <w:r>
        <w:rPr>
          <w:rFonts w:hint="eastAsia" w:ascii="宋体" w:hAnsi="宋体" w:eastAsia="宋体" w:cs="宋体"/>
          <w:b w:val="0"/>
          <w:bCs/>
          <w:color w:val="auto"/>
          <w:sz w:val="22"/>
          <w:szCs w:val="24"/>
          <w:highlight w:val="none"/>
          <w:lang w:bidi="ar"/>
        </w:rPr>
        <w:t>文件技术规格要求，反映所提供货物和服务对</w:t>
      </w:r>
      <w:r>
        <w:rPr>
          <w:rFonts w:hint="eastAsia" w:ascii="宋体" w:hAnsi="宋体" w:eastAsia="宋体" w:cs="宋体"/>
          <w:b w:val="0"/>
          <w:bCs/>
          <w:color w:val="auto"/>
          <w:sz w:val="22"/>
          <w:szCs w:val="24"/>
          <w:highlight w:val="none"/>
          <w:lang w:val="en-US" w:eastAsia="zh-CN" w:bidi="ar"/>
        </w:rPr>
        <w:t>招标</w:t>
      </w:r>
      <w:r>
        <w:rPr>
          <w:rFonts w:hint="eastAsia" w:ascii="宋体" w:hAnsi="宋体" w:eastAsia="宋体" w:cs="宋体"/>
          <w:b w:val="0"/>
          <w:bCs/>
          <w:color w:val="auto"/>
          <w:sz w:val="22"/>
          <w:szCs w:val="24"/>
          <w:highlight w:val="none"/>
          <w:lang w:bidi="ar"/>
        </w:rPr>
        <w:t>文件的技术规格要求的全部正/负偏离（优于</w:t>
      </w:r>
      <w:r>
        <w:rPr>
          <w:rFonts w:hint="eastAsia" w:ascii="宋体" w:hAnsi="宋体" w:eastAsia="宋体" w:cs="宋体"/>
          <w:b w:val="0"/>
          <w:bCs/>
          <w:color w:val="auto"/>
          <w:sz w:val="22"/>
          <w:szCs w:val="24"/>
          <w:highlight w:val="none"/>
          <w:lang w:eastAsia="zh-CN" w:bidi="ar"/>
        </w:rPr>
        <w:t>招标</w:t>
      </w:r>
      <w:r>
        <w:rPr>
          <w:rFonts w:hint="eastAsia" w:ascii="宋体" w:hAnsi="宋体" w:eastAsia="宋体" w:cs="宋体"/>
          <w:b w:val="0"/>
          <w:bCs/>
          <w:color w:val="auto"/>
          <w:sz w:val="22"/>
          <w:szCs w:val="24"/>
          <w:highlight w:val="none"/>
          <w:lang w:bidi="ar"/>
        </w:rPr>
        <w:t>文件要求的为正偏离、低于</w:t>
      </w:r>
      <w:r>
        <w:rPr>
          <w:rFonts w:hint="eastAsia" w:ascii="宋体" w:hAnsi="宋体" w:eastAsia="宋体" w:cs="宋体"/>
          <w:b w:val="0"/>
          <w:bCs/>
          <w:color w:val="auto"/>
          <w:sz w:val="22"/>
          <w:szCs w:val="24"/>
          <w:highlight w:val="none"/>
          <w:lang w:eastAsia="zh-CN" w:bidi="ar"/>
        </w:rPr>
        <w:t>招标</w:t>
      </w:r>
      <w:r>
        <w:rPr>
          <w:rFonts w:hint="eastAsia" w:ascii="宋体" w:hAnsi="宋体" w:eastAsia="宋体" w:cs="宋体"/>
          <w:b w:val="0"/>
          <w:bCs/>
          <w:color w:val="auto"/>
          <w:sz w:val="22"/>
          <w:szCs w:val="24"/>
          <w:highlight w:val="none"/>
          <w:lang w:bidi="ar"/>
        </w:rPr>
        <w:t>文件要求得为负偏离）情况。未在本表中做出偏离说明的项目，视为与</w:t>
      </w:r>
      <w:r>
        <w:rPr>
          <w:rFonts w:hint="eastAsia" w:ascii="宋体" w:hAnsi="宋体" w:eastAsia="宋体" w:cs="宋体"/>
          <w:b w:val="0"/>
          <w:bCs/>
          <w:color w:val="auto"/>
          <w:sz w:val="22"/>
          <w:szCs w:val="24"/>
          <w:highlight w:val="none"/>
          <w:lang w:eastAsia="zh-CN" w:bidi="ar"/>
        </w:rPr>
        <w:t>招标</w:t>
      </w:r>
      <w:r>
        <w:rPr>
          <w:rFonts w:hint="eastAsia" w:ascii="宋体" w:hAnsi="宋体" w:eastAsia="宋体" w:cs="宋体"/>
          <w:b w:val="0"/>
          <w:bCs/>
          <w:color w:val="auto"/>
          <w:sz w:val="22"/>
          <w:szCs w:val="24"/>
          <w:highlight w:val="none"/>
          <w:lang w:bidi="ar"/>
        </w:rPr>
        <w:t>文件要求一致；在本表中做出偏离说明的项目，投标供应商必须提供所投设备的具体参数值，并在技术标中提供详细资料。</w:t>
      </w:r>
    </w:p>
    <w:p w14:paraId="0436D730">
      <w:pPr>
        <w:keepNext w:val="0"/>
        <w:keepLines w:val="0"/>
        <w:pageBreakBefore w:val="0"/>
        <w:widowControl w:val="0"/>
        <w:kinsoku/>
        <w:wordWrap w:val="0"/>
        <w:overflowPunct/>
        <w:topLinePunct w:val="0"/>
        <w:autoSpaceDE w:val="0"/>
        <w:autoSpaceDN w:val="0"/>
        <w:bidi w:val="0"/>
        <w:adjustRightInd/>
        <w:spacing w:line="480" w:lineRule="exact"/>
        <w:ind w:firstLine="110" w:firstLineChars="50"/>
        <w:textAlignment w:val="auto"/>
        <w:rPr>
          <w:rFonts w:hint="eastAsia" w:ascii="宋体" w:hAnsi="宋体" w:eastAsia="宋体" w:cs="宋体"/>
          <w:b w:val="0"/>
          <w:bCs/>
          <w:color w:val="auto"/>
          <w:sz w:val="22"/>
          <w:szCs w:val="24"/>
          <w:highlight w:val="none"/>
          <w:lang w:bidi="ar"/>
        </w:rPr>
      </w:pPr>
      <w:r>
        <w:rPr>
          <w:rFonts w:hint="eastAsia" w:ascii="宋体" w:hAnsi="宋体" w:eastAsia="宋体" w:cs="宋体"/>
          <w:b w:val="0"/>
          <w:bCs/>
          <w:color w:val="auto"/>
          <w:sz w:val="22"/>
          <w:szCs w:val="24"/>
          <w:highlight w:val="none"/>
          <w:lang w:bidi="ar"/>
        </w:rPr>
        <w:t>注：此表格若不够用，可根据实际自行扩展表格。</w:t>
      </w:r>
    </w:p>
    <w:p w14:paraId="01373D3A">
      <w:pPr>
        <w:spacing w:after="156" w:afterLines="50" w:line="520" w:lineRule="exact"/>
        <w:jc w:val="center"/>
        <w:outlineLvl w:val="0"/>
        <w:rPr>
          <w:rFonts w:hint="eastAsia" w:ascii="宋体" w:hAnsi="宋体" w:cs="宋体"/>
          <w:b/>
          <w:bCs/>
          <w:color w:val="auto"/>
          <w:sz w:val="30"/>
          <w:szCs w:val="30"/>
          <w:highlight w:val="none"/>
        </w:rPr>
      </w:pPr>
      <w:bookmarkStart w:id="174" w:name="_Toc25852"/>
      <w:bookmarkStart w:id="175" w:name="_Toc5694"/>
      <w:r>
        <w:rPr>
          <w:rFonts w:hint="eastAsia" w:ascii="宋体" w:hAnsi="宋体" w:cs="宋体"/>
          <w:b/>
          <w:bCs/>
          <w:color w:val="auto"/>
          <w:sz w:val="30"/>
          <w:szCs w:val="30"/>
          <w:highlight w:val="none"/>
        </w:rPr>
        <w:t>五、</w:t>
      </w:r>
      <w:bookmarkEnd w:id="151"/>
      <w:bookmarkEnd w:id="152"/>
      <w:bookmarkEnd w:id="153"/>
      <w:r>
        <w:rPr>
          <w:rFonts w:hint="eastAsia" w:ascii="宋体" w:hAnsi="宋体" w:cs="宋体"/>
          <w:b/>
          <w:bCs/>
          <w:color w:val="auto"/>
          <w:sz w:val="30"/>
          <w:szCs w:val="30"/>
          <w:highlight w:val="none"/>
        </w:rPr>
        <w:t>资格审查资料</w:t>
      </w:r>
      <w:bookmarkEnd w:id="174"/>
      <w:bookmarkEnd w:id="175"/>
    </w:p>
    <w:p w14:paraId="1728E0C4">
      <w:pPr>
        <w:keepNext w:val="0"/>
        <w:keepLines w:val="0"/>
        <w:pageBreakBefore w:val="0"/>
        <w:widowControl w:val="0"/>
        <w:kinsoku/>
        <w:overflowPunct/>
        <w:topLinePunct w:val="0"/>
        <w:autoSpaceDE/>
        <w:autoSpaceDN/>
        <w:bidi w:val="0"/>
        <w:adjustRightInd/>
        <w:snapToGrid/>
        <w:spacing w:line="360" w:lineRule="auto"/>
        <w:textAlignment w:val="auto"/>
        <w:rPr>
          <w:rFonts w:hint="default" w:ascii="宋体" w:hAnsi="宋体" w:eastAsia="宋体" w:cs="宋体"/>
          <w:color w:val="auto"/>
          <w:sz w:val="24"/>
          <w:highlight w:val="none"/>
          <w:lang w:val="en-US" w:eastAsia="zh-CN"/>
        </w:rPr>
      </w:pPr>
    </w:p>
    <w:p w14:paraId="36CB248F">
      <w:pPr>
        <w:jc w:val="center"/>
        <w:rPr>
          <w:rFonts w:hint="eastAsia" w:ascii="宋体" w:hAnsi="宋体" w:cs="宋体"/>
          <w:b/>
          <w:bCs/>
          <w:color w:val="auto"/>
          <w:sz w:val="30"/>
          <w:szCs w:val="30"/>
          <w:highlight w:val="none"/>
        </w:rPr>
      </w:pPr>
    </w:p>
    <w:p w14:paraId="29ACB3E8">
      <w:pPr>
        <w:jc w:val="center"/>
        <w:rPr>
          <w:rFonts w:hint="eastAsia" w:ascii="宋体" w:hAnsi="宋体" w:cs="宋体"/>
          <w:b/>
          <w:bCs/>
          <w:color w:val="auto"/>
          <w:sz w:val="30"/>
          <w:szCs w:val="30"/>
          <w:highlight w:val="none"/>
        </w:rPr>
      </w:pPr>
    </w:p>
    <w:p w14:paraId="19E19C26">
      <w:pPr>
        <w:spacing w:line="360" w:lineRule="auto"/>
        <w:ind w:firstLine="3840" w:firstLineChars="1600"/>
        <w:rPr>
          <w:rFonts w:hint="eastAsia" w:ascii="宋体" w:hAnsi="宋体" w:eastAsia="宋体" w:cs="宋体"/>
          <w:color w:val="auto"/>
          <w:sz w:val="24"/>
          <w:highlight w:val="none"/>
        </w:rPr>
      </w:pPr>
    </w:p>
    <w:p w14:paraId="0403CEAB">
      <w:pPr>
        <w:spacing w:line="360" w:lineRule="auto"/>
        <w:ind w:firstLine="3840" w:firstLineChars="1600"/>
        <w:rPr>
          <w:rFonts w:hint="eastAsia" w:ascii="宋体" w:hAnsi="宋体" w:eastAsia="宋体" w:cs="宋体"/>
          <w:color w:val="auto"/>
          <w:sz w:val="24"/>
          <w:highlight w:val="none"/>
        </w:rPr>
      </w:pPr>
    </w:p>
    <w:p w14:paraId="51219BC6">
      <w:pPr>
        <w:pStyle w:val="5"/>
        <w:rPr>
          <w:rFonts w:hint="eastAsia"/>
          <w:color w:val="auto"/>
          <w:highlight w:val="none"/>
        </w:rPr>
      </w:pPr>
    </w:p>
    <w:p w14:paraId="489EA122">
      <w:pPr>
        <w:spacing w:line="360" w:lineRule="auto"/>
        <w:ind w:firstLine="3840" w:firstLineChars="1600"/>
        <w:rPr>
          <w:rFonts w:hint="eastAsia" w:ascii="宋体" w:hAnsi="宋体" w:eastAsia="宋体" w:cs="宋体"/>
          <w:color w:val="auto"/>
          <w:sz w:val="24"/>
          <w:highlight w:val="none"/>
        </w:rPr>
      </w:pPr>
    </w:p>
    <w:p w14:paraId="68DD51CF">
      <w:pPr>
        <w:jc w:val="center"/>
        <w:rPr>
          <w:rFonts w:hint="eastAsia" w:ascii="宋体" w:hAnsi="宋体" w:eastAsia="宋体" w:cs="宋体"/>
          <w:b/>
          <w:bCs/>
          <w:color w:val="auto"/>
          <w:sz w:val="30"/>
          <w:szCs w:val="30"/>
          <w:highlight w:val="none"/>
        </w:rPr>
      </w:pPr>
    </w:p>
    <w:p w14:paraId="40D44203">
      <w:pPr>
        <w:jc w:val="center"/>
        <w:rPr>
          <w:rFonts w:hint="eastAsia" w:ascii="宋体" w:hAnsi="宋体" w:cs="宋体"/>
          <w:b/>
          <w:bCs/>
          <w:color w:val="auto"/>
          <w:sz w:val="30"/>
          <w:szCs w:val="30"/>
          <w:highlight w:val="none"/>
        </w:rPr>
      </w:pPr>
    </w:p>
    <w:p w14:paraId="217ECBA4">
      <w:pPr>
        <w:wordWrap w:val="0"/>
        <w:spacing w:line="360" w:lineRule="auto"/>
        <w:jc w:val="center"/>
        <w:rPr>
          <w:rFonts w:hint="eastAsia" w:ascii="宋体" w:hAnsi="宋体" w:cs="宋体"/>
          <w:b/>
          <w:bCs/>
          <w:color w:val="auto"/>
          <w:sz w:val="30"/>
          <w:szCs w:val="30"/>
          <w:highlight w:val="none"/>
        </w:rPr>
      </w:pPr>
    </w:p>
    <w:p w14:paraId="03A13303">
      <w:pPr>
        <w:wordWrap w:val="0"/>
        <w:spacing w:line="360" w:lineRule="auto"/>
        <w:jc w:val="center"/>
        <w:rPr>
          <w:rFonts w:hint="eastAsia" w:ascii="宋体" w:hAnsi="宋体" w:cs="宋体"/>
          <w:b/>
          <w:bCs/>
          <w:color w:val="auto"/>
          <w:sz w:val="30"/>
          <w:szCs w:val="30"/>
          <w:highlight w:val="none"/>
        </w:rPr>
      </w:pPr>
    </w:p>
    <w:p w14:paraId="6E78615B">
      <w:pPr>
        <w:wordWrap w:val="0"/>
        <w:spacing w:line="360" w:lineRule="auto"/>
        <w:jc w:val="center"/>
        <w:rPr>
          <w:rFonts w:hint="eastAsia" w:ascii="宋体" w:hAnsi="宋体" w:cs="宋体"/>
          <w:b/>
          <w:bCs/>
          <w:color w:val="auto"/>
          <w:sz w:val="30"/>
          <w:szCs w:val="30"/>
          <w:highlight w:val="none"/>
        </w:rPr>
      </w:pPr>
    </w:p>
    <w:p w14:paraId="5A4A4BBE">
      <w:pPr>
        <w:wordWrap w:val="0"/>
        <w:spacing w:line="360" w:lineRule="auto"/>
        <w:jc w:val="center"/>
        <w:rPr>
          <w:rFonts w:hint="eastAsia" w:ascii="宋体" w:hAnsi="宋体" w:cs="宋体"/>
          <w:b/>
          <w:bCs/>
          <w:color w:val="auto"/>
          <w:sz w:val="30"/>
          <w:szCs w:val="30"/>
          <w:highlight w:val="none"/>
        </w:rPr>
      </w:pPr>
    </w:p>
    <w:p w14:paraId="32BAA1FE">
      <w:pPr>
        <w:rPr>
          <w:rFonts w:hint="eastAsia" w:ascii="宋体" w:hAnsi="宋体" w:cs="宋体"/>
          <w:b w:val="0"/>
          <w:bCs w:val="0"/>
          <w:color w:val="auto"/>
          <w:sz w:val="30"/>
          <w:szCs w:val="30"/>
          <w:highlight w:val="none"/>
        </w:rPr>
      </w:pPr>
      <w:r>
        <w:rPr>
          <w:rFonts w:hint="eastAsia" w:ascii="宋体" w:hAnsi="宋体" w:cs="宋体"/>
          <w:b w:val="0"/>
          <w:bCs w:val="0"/>
          <w:color w:val="auto"/>
          <w:sz w:val="30"/>
          <w:szCs w:val="30"/>
          <w:highlight w:val="none"/>
        </w:rPr>
        <w:br w:type="page"/>
      </w:r>
    </w:p>
    <w:p w14:paraId="0399CF2D">
      <w:pPr>
        <w:jc w:val="center"/>
        <w:outlineLvl w:val="0"/>
        <w:rPr>
          <w:rFonts w:hint="eastAsia"/>
          <w:b/>
          <w:color w:val="auto"/>
          <w:sz w:val="30"/>
          <w:szCs w:val="30"/>
          <w:highlight w:val="none"/>
        </w:rPr>
      </w:pPr>
      <w:bookmarkStart w:id="176" w:name="_Toc22268"/>
      <w:bookmarkStart w:id="177" w:name="_Toc4099"/>
      <w:r>
        <w:rPr>
          <w:rFonts w:hint="eastAsia"/>
          <w:b/>
          <w:color w:val="auto"/>
          <w:sz w:val="30"/>
          <w:szCs w:val="30"/>
          <w:highlight w:val="none"/>
          <w:lang w:val="en-US" w:eastAsia="zh-CN"/>
        </w:rPr>
        <w:t>六</w:t>
      </w:r>
      <w:r>
        <w:rPr>
          <w:rFonts w:hint="eastAsia"/>
          <w:b/>
          <w:color w:val="auto"/>
          <w:sz w:val="30"/>
          <w:szCs w:val="30"/>
          <w:highlight w:val="none"/>
        </w:rPr>
        <w:t>、</w:t>
      </w:r>
      <w:r>
        <w:rPr>
          <w:rFonts w:hint="eastAsia"/>
          <w:b/>
          <w:color w:val="auto"/>
          <w:sz w:val="30"/>
          <w:szCs w:val="30"/>
          <w:highlight w:val="none"/>
          <w:lang w:val="en-US" w:eastAsia="zh-CN"/>
        </w:rPr>
        <w:t>投标</w:t>
      </w:r>
      <w:r>
        <w:rPr>
          <w:rFonts w:hint="eastAsia"/>
          <w:b/>
          <w:color w:val="auto"/>
          <w:sz w:val="30"/>
          <w:szCs w:val="30"/>
          <w:highlight w:val="none"/>
        </w:rPr>
        <w:t>承诺函</w:t>
      </w:r>
      <w:bookmarkEnd w:id="176"/>
      <w:bookmarkEnd w:id="177"/>
    </w:p>
    <w:p w14:paraId="6F6867EB">
      <w:pPr>
        <w:spacing w:line="360" w:lineRule="auto"/>
        <w:rPr>
          <w:rFonts w:ascii="宋体" w:hAnsi="宋体"/>
          <w:color w:val="auto"/>
          <w:sz w:val="24"/>
          <w:highlight w:val="none"/>
          <w:u w:val="single"/>
        </w:rPr>
      </w:pPr>
      <w:r>
        <w:rPr>
          <w:rFonts w:hint="eastAsia" w:ascii="宋体" w:hAnsi="宋体"/>
          <w:color w:val="auto"/>
          <w:sz w:val="24"/>
          <w:highlight w:val="none"/>
        </w:rPr>
        <w:t>致：</w:t>
      </w:r>
      <w:r>
        <w:rPr>
          <w:rFonts w:hint="eastAsia" w:ascii="宋体" w:hAnsi="宋体"/>
          <w:color w:val="auto"/>
          <w:sz w:val="24"/>
          <w:highlight w:val="none"/>
          <w:u w:val="single"/>
        </w:rPr>
        <w:t>(采购人名称)</w:t>
      </w:r>
    </w:p>
    <w:p w14:paraId="1BC1940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我方根据本项目</w:t>
      </w:r>
      <w:r>
        <w:rPr>
          <w:rFonts w:hint="eastAsia" w:ascii="宋体" w:hAnsi="宋体"/>
          <w:color w:val="auto"/>
          <w:sz w:val="24"/>
          <w:highlight w:val="none"/>
          <w:lang w:val="en-US" w:eastAsia="zh-CN"/>
        </w:rPr>
        <w:t>招标</w:t>
      </w:r>
      <w:r>
        <w:rPr>
          <w:rFonts w:hint="eastAsia" w:ascii="宋体" w:hAnsi="宋体"/>
          <w:color w:val="auto"/>
          <w:sz w:val="24"/>
          <w:highlight w:val="none"/>
        </w:rPr>
        <w:t>文件,自愿参加</w:t>
      </w:r>
      <w:r>
        <w:rPr>
          <w:rFonts w:hint="eastAsia" w:ascii="宋体" w:hAnsi="宋体"/>
          <w:color w:val="auto"/>
          <w:sz w:val="24"/>
          <w:highlight w:val="none"/>
          <w:u w:val="single"/>
        </w:rPr>
        <w:t xml:space="preserve">                     </w:t>
      </w:r>
      <w:r>
        <w:rPr>
          <w:rFonts w:hint="eastAsia" w:ascii="宋体" w:hAnsi="宋体"/>
          <w:color w:val="auto"/>
          <w:sz w:val="24"/>
          <w:highlight w:val="none"/>
          <w:lang w:val="en-US" w:eastAsia="zh-CN"/>
        </w:rPr>
        <w:t>项目</w:t>
      </w:r>
      <w:r>
        <w:rPr>
          <w:rFonts w:hint="eastAsia" w:ascii="宋体" w:hAnsi="宋体"/>
          <w:color w:val="auto"/>
          <w:sz w:val="24"/>
          <w:highlight w:val="none"/>
        </w:rPr>
        <w:t>，并作如下承诺：</w:t>
      </w:r>
    </w:p>
    <w:p w14:paraId="4018886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1、我方本着公平竞争的原则,参加本次投标活动。我方严格遵守国家相关法律法规,不出借、挂靠资质投标,不围标、串标,不使用违法或其它不正当行为谋求中标。</w:t>
      </w:r>
    </w:p>
    <w:p w14:paraId="7010A0D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2、保证不向招标人、代理机构、行政监督部门等工作人员、评标专家及其亲属赠送礼品、扎金、有价证券、支付凭证；不为其旅游及其它消费行为报销费用。</w:t>
      </w:r>
    </w:p>
    <w:p w14:paraId="7337012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3、我方严格按照本项目招标文件规定递交全部投标文件,保证在招标文件规定的投标有效期内不修改、撤回已递交的投标文件。</w:t>
      </w:r>
    </w:p>
    <w:p w14:paraId="68938EF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4、如我方中标,我方将按规定及时履行合同义务,及时与建设单位签订合同,并严格按照合同、投标文件及投标过程中所做出的承诺资料等组织项目实施。</w:t>
      </w:r>
    </w:p>
    <w:p w14:paraId="2038DA1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5、我方严格履行以上承诺,否则,我公司及参与投标的工作人员将自愿接受国家法律、法规、规章规定给予的经济、党纪、政纪乃至刑事的处罚；自觉接受行政监管部门给予公司和个人的不良行为记录。</w:t>
      </w:r>
    </w:p>
    <w:p w14:paraId="5F3E6377">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6、供应商认为应做的其他承诺：</w:t>
      </w:r>
      <w:r>
        <w:rPr>
          <w:rFonts w:hint="eastAsia" w:ascii="宋体" w:hAnsi="宋体"/>
          <w:color w:val="auto"/>
          <w:sz w:val="24"/>
          <w:highlight w:val="none"/>
          <w:u w:val="single"/>
        </w:rPr>
        <w:t xml:space="preserve">                      </w:t>
      </w:r>
    </w:p>
    <w:p w14:paraId="127286A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特此承诺。</w:t>
      </w:r>
    </w:p>
    <w:p w14:paraId="7A03210B">
      <w:pPr>
        <w:spacing w:line="360" w:lineRule="auto"/>
        <w:ind w:firstLine="3360" w:firstLineChars="1400"/>
        <w:rPr>
          <w:rFonts w:hint="eastAsia" w:ascii="宋体" w:hAnsi="宋体"/>
          <w:color w:val="auto"/>
          <w:sz w:val="24"/>
          <w:highlight w:val="none"/>
        </w:rPr>
      </w:pPr>
    </w:p>
    <w:p w14:paraId="4764EAF9">
      <w:pPr>
        <w:spacing w:line="360" w:lineRule="auto"/>
        <w:ind w:firstLine="3360" w:firstLineChars="1400"/>
        <w:rPr>
          <w:rFonts w:hint="eastAsia" w:ascii="宋体" w:hAnsi="宋体"/>
          <w:color w:val="auto"/>
          <w:sz w:val="24"/>
          <w:highlight w:val="none"/>
        </w:rPr>
      </w:pPr>
    </w:p>
    <w:p w14:paraId="0E18CF30">
      <w:pPr>
        <w:spacing w:line="360" w:lineRule="auto"/>
        <w:ind w:firstLine="3360" w:firstLineChars="1400"/>
        <w:rPr>
          <w:rFonts w:hint="eastAsia" w:ascii="宋体" w:hAnsi="宋体"/>
          <w:color w:val="auto"/>
          <w:sz w:val="24"/>
          <w:highlight w:val="none"/>
        </w:rPr>
      </w:pPr>
    </w:p>
    <w:p w14:paraId="0E3D0224">
      <w:pPr>
        <w:spacing w:line="360" w:lineRule="auto"/>
        <w:ind w:firstLine="3360" w:firstLineChars="1400"/>
        <w:rPr>
          <w:rFonts w:hint="eastAsia" w:ascii="宋体" w:hAnsi="宋体"/>
          <w:color w:val="auto"/>
          <w:sz w:val="24"/>
          <w:highlight w:val="none"/>
        </w:rPr>
      </w:pPr>
    </w:p>
    <w:p w14:paraId="36C63CF4">
      <w:pPr>
        <w:spacing w:line="360" w:lineRule="auto"/>
        <w:ind w:firstLine="3840" w:firstLineChars="1600"/>
        <w:rPr>
          <w:rFonts w:hint="eastAsia" w:ascii="宋体" w:hAnsi="宋体" w:cs="宋体"/>
          <w:color w:val="auto"/>
          <w:kern w:val="0"/>
          <w:sz w:val="24"/>
          <w:highlight w:val="none"/>
          <w:lang w:val="en-US" w:eastAsia="zh-CN"/>
        </w:rPr>
      </w:pPr>
    </w:p>
    <w:p w14:paraId="243FAE4B">
      <w:pPr>
        <w:spacing w:line="360" w:lineRule="auto"/>
        <w:ind w:firstLine="3840" w:firstLineChars="1600"/>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投标</w:t>
      </w:r>
      <w:r>
        <w:rPr>
          <w:rFonts w:hint="eastAsia" w:ascii="宋体" w:hAnsi="宋体" w:cs="宋体"/>
          <w:color w:val="auto"/>
          <w:kern w:val="0"/>
          <w:sz w:val="24"/>
          <w:highlight w:val="none"/>
        </w:rPr>
        <w:t>供应商(盖章)：</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w:t>
      </w:r>
    </w:p>
    <w:p w14:paraId="3123A99F">
      <w:pPr>
        <w:spacing w:line="360" w:lineRule="auto"/>
        <w:ind w:firstLine="3840" w:firstLineChars="1600"/>
        <w:rPr>
          <w:rFonts w:ascii="宋体" w:hAnsi="宋体" w:cs="宋体"/>
          <w:color w:val="auto"/>
          <w:kern w:val="0"/>
          <w:sz w:val="24"/>
          <w:highlight w:val="none"/>
        </w:rPr>
      </w:pPr>
      <w:r>
        <w:rPr>
          <w:rFonts w:hint="eastAsia" w:ascii="宋体" w:hAnsi="宋体" w:cs="宋体"/>
          <w:color w:val="auto"/>
          <w:kern w:val="0"/>
          <w:sz w:val="24"/>
          <w:highlight w:val="none"/>
        </w:rPr>
        <w:t>法定代表人或其委托代理人(签字或盖章)：</w:t>
      </w:r>
      <w:r>
        <w:rPr>
          <w:rFonts w:hint="eastAsia" w:ascii="宋体" w:hAnsi="宋体" w:cs="宋体"/>
          <w:color w:val="auto"/>
          <w:kern w:val="0"/>
          <w:sz w:val="24"/>
          <w:highlight w:val="none"/>
          <w:u w:val="single"/>
        </w:rPr>
        <w:t xml:space="preserve">          </w:t>
      </w:r>
    </w:p>
    <w:p w14:paraId="373FAFDA">
      <w:pPr>
        <w:ind w:firstLine="3840" w:firstLineChars="1600"/>
        <w:rPr>
          <w:rFonts w:hint="eastAsia" w:ascii="宋体" w:hAnsi="宋体"/>
          <w:b/>
          <w:color w:val="auto"/>
          <w:sz w:val="24"/>
          <w:highlight w:val="none"/>
        </w:rPr>
      </w:pPr>
      <w:r>
        <w:rPr>
          <w:rFonts w:hint="eastAsia" w:ascii="宋体" w:hAnsi="宋体" w:cs="宋体"/>
          <w:color w:val="auto"/>
          <w:kern w:val="0"/>
          <w:sz w:val="24"/>
          <w:highlight w:val="none"/>
        </w:rPr>
        <w:t>日期：      年   月   日</w:t>
      </w:r>
    </w:p>
    <w:p w14:paraId="72B7F5CF">
      <w:pPr>
        <w:jc w:val="center"/>
        <w:rPr>
          <w:rFonts w:hint="eastAsia"/>
          <w:b/>
          <w:color w:val="auto"/>
          <w:sz w:val="36"/>
          <w:szCs w:val="36"/>
          <w:highlight w:val="none"/>
        </w:rPr>
      </w:pPr>
    </w:p>
    <w:p w14:paraId="034CDE9C">
      <w:pPr>
        <w:rPr>
          <w:rFonts w:hint="eastAsia"/>
          <w:b/>
          <w:color w:val="auto"/>
          <w:sz w:val="30"/>
          <w:szCs w:val="30"/>
          <w:highlight w:val="none"/>
          <w:lang w:val="en-US" w:eastAsia="zh-CN"/>
        </w:rPr>
      </w:pPr>
      <w:bookmarkStart w:id="178" w:name="_Toc7421"/>
      <w:bookmarkStart w:id="179" w:name="_Toc2201"/>
      <w:r>
        <w:rPr>
          <w:rFonts w:hint="eastAsia"/>
          <w:b/>
          <w:color w:val="auto"/>
          <w:sz w:val="30"/>
          <w:szCs w:val="30"/>
          <w:highlight w:val="none"/>
          <w:lang w:val="en-US" w:eastAsia="zh-CN"/>
        </w:rPr>
        <w:br w:type="page"/>
      </w:r>
    </w:p>
    <w:p w14:paraId="33F56E7A">
      <w:pPr>
        <w:jc w:val="center"/>
        <w:outlineLvl w:val="0"/>
        <w:rPr>
          <w:rFonts w:hint="eastAsia"/>
          <w:b/>
          <w:color w:val="auto"/>
          <w:sz w:val="30"/>
          <w:szCs w:val="30"/>
          <w:highlight w:val="none"/>
          <w:lang w:val="en-US" w:eastAsia="zh-CN"/>
        </w:rPr>
      </w:pPr>
      <w:r>
        <w:rPr>
          <w:rFonts w:hint="eastAsia"/>
          <w:b/>
          <w:color w:val="auto"/>
          <w:sz w:val="30"/>
          <w:szCs w:val="30"/>
          <w:highlight w:val="none"/>
          <w:lang w:val="en-US" w:eastAsia="zh-CN"/>
        </w:rPr>
        <w:t>七</w:t>
      </w:r>
      <w:r>
        <w:rPr>
          <w:rFonts w:hint="eastAsia"/>
          <w:b/>
          <w:color w:val="auto"/>
          <w:sz w:val="30"/>
          <w:szCs w:val="30"/>
          <w:highlight w:val="none"/>
        </w:rPr>
        <w:t>、</w:t>
      </w:r>
      <w:bookmarkEnd w:id="178"/>
      <w:bookmarkEnd w:id="179"/>
      <w:r>
        <w:rPr>
          <w:rFonts w:hint="eastAsia"/>
          <w:b/>
          <w:color w:val="auto"/>
          <w:sz w:val="30"/>
          <w:szCs w:val="30"/>
          <w:highlight w:val="none"/>
          <w:lang w:val="en-US" w:eastAsia="zh-CN"/>
        </w:rPr>
        <w:t>技术标</w:t>
      </w:r>
    </w:p>
    <w:p w14:paraId="4AA57F94">
      <w:pPr>
        <w:rPr>
          <w:rFonts w:hint="eastAsia"/>
          <w:b/>
          <w:color w:val="auto"/>
          <w:sz w:val="30"/>
          <w:szCs w:val="30"/>
          <w:highlight w:val="none"/>
          <w:lang w:val="en-US" w:eastAsia="zh-CN"/>
        </w:rPr>
      </w:pPr>
      <w:r>
        <w:rPr>
          <w:rFonts w:hint="eastAsia"/>
          <w:b/>
          <w:color w:val="auto"/>
          <w:sz w:val="30"/>
          <w:szCs w:val="30"/>
          <w:highlight w:val="none"/>
          <w:lang w:val="en-US" w:eastAsia="zh-CN"/>
        </w:rPr>
        <w:br w:type="page"/>
      </w:r>
    </w:p>
    <w:p w14:paraId="530605DD">
      <w:pPr>
        <w:jc w:val="center"/>
        <w:outlineLvl w:val="0"/>
        <w:rPr>
          <w:rFonts w:hint="eastAsia"/>
          <w:b/>
          <w:color w:val="auto"/>
          <w:sz w:val="30"/>
          <w:szCs w:val="30"/>
          <w:highlight w:val="none"/>
          <w:lang w:val="en-US" w:eastAsia="zh-CN"/>
        </w:rPr>
      </w:pPr>
      <w:r>
        <w:rPr>
          <w:rFonts w:hint="eastAsia"/>
          <w:b/>
          <w:color w:val="auto"/>
          <w:sz w:val="30"/>
          <w:szCs w:val="30"/>
          <w:highlight w:val="none"/>
          <w:lang w:val="en-US" w:eastAsia="zh-CN"/>
        </w:rPr>
        <w:t>八</w:t>
      </w:r>
      <w:r>
        <w:rPr>
          <w:rFonts w:hint="eastAsia"/>
          <w:b/>
          <w:color w:val="auto"/>
          <w:sz w:val="30"/>
          <w:szCs w:val="30"/>
          <w:highlight w:val="none"/>
        </w:rPr>
        <w:t>、</w:t>
      </w:r>
      <w:r>
        <w:rPr>
          <w:rFonts w:hint="eastAsia"/>
          <w:b/>
          <w:color w:val="auto"/>
          <w:sz w:val="30"/>
          <w:szCs w:val="30"/>
          <w:highlight w:val="none"/>
          <w:lang w:val="en-US" w:eastAsia="zh-CN"/>
        </w:rPr>
        <w:t>综合标</w:t>
      </w:r>
    </w:p>
    <w:p w14:paraId="5BABE9BF">
      <w:pPr>
        <w:rPr>
          <w:rFonts w:hint="eastAsia"/>
          <w:b/>
          <w:color w:val="auto"/>
          <w:sz w:val="30"/>
          <w:szCs w:val="30"/>
          <w:highlight w:val="none"/>
          <w:lang w:val="en-US" w:eastAsia="zh-CN"/>
        </w:rPr>
      </w:pPr>
      <w:r>
        <w:rPr>
          <w:rFonts w:hint="eastAsia"/>
          <w:b/>
          <w:color w:val="auto"/>
          <w:sz w:val="30"/>
          <w:szCs w:val="30"/>
          <w:highlight w:val="none"/>
          <w:lang w:val="en-US" w:eastAsia="zh-CN"/>
        </w:rPr>
        <w:br w:type="page"/>
      </w:r>
    </w:p>
    <w:p w14:paraId="208E327E">
      <w:pPr>
        <w:jc w:val="center"/>
        <w:outlineLvl w:val="0"/>
        <w:rPr>
          <w:rFonts w:hint="default"/>
          <w:b/>
          <w:color w:val="auto"/>
          <w:sz w:val="30"/>
          <w:szCs w:val="30"/>
          <w:highlight w:val="none"/>
          <w:lang w:val="en-US" w:eastAsia="zh-CN"/>
        </w:rPr>
      </w:pPr>
      <w:r>
        <w:rPr>
          <w:rFonts w:hint="eastAsia"/>
          <w:b/>
          <w:color w:val="auto"/>
          <w:sz w:val="30"/>
          <w:szCs w:val="30"/>
          <w:highlight w:val="none"/>
          <w:lang w:val="en-US" w:eastAsia="zh-CN"/>
        </w:rPr>
        <w:t>九</w:t>
      </w:r>
      <w:r>
        <w:rPr>
          <w:rFonts w:hint="eastAsia"/>
          <w:b/>
          <w:color w:val="auto"/>
          <w:sz w:val="30"/>
          <w:szCs w:val="30"/>
          <w:highlight w:val="none"/>
        </w:rPr>
        <w:t>、</w:t>
      </w:r>
      <w:r>
        <w:rPr>
          <w:rFonts w:hint="eastAsia"/>
          <w:b/>
          <w:color w:val="auto"/>
          <w:sz w:val="30"/>
          <w:szCs w:val="30"/>
          <w:highlight w:val="none"/>
          <w:lang w:val="en-US" w:eastAsia="zh-CN"/>
        </w:rPr>
        <w:t>其他材料</w:t>
      </w:r>
    </w:p>
    <w:p w14:paraId="5D250C5F">
      <w:pPr>
        <w:pStyle w:val="2"/>
        <w:rPr>
          <w:rFonts w:hint="default"/>
          <w:color w:val="auto"/>
          <w:highlight w:val="none"/>
          <w:lang w:val="en-US" w:eastAsia="zh-CN"/>
        </w:rPr>
      </w:pPr>
    </w:p>
    <w:p w14:paraId="3965D517">
      <w:pPr>
        <w:pStyle w:val="2"/>
        <w:rPr>
          <w:rFonts w:hint="default"/>
          <w:color w:val="auto"/>
          <w:highlight w:val="none"/>
          <w:lang w:val="en-US" w:eastAsia="zh-CN"/>
        </w:rPr>
      </w:pPr>
    </w:p>
    <w:p w14:paraId="51785E08">
      <w:pPr>
        <w:rPr>
          <w:rFonts w:hint="eastAsia"/>
          <w:b/>
          <w:color w:val="auto"/>
          <w:sz w:val="30"/>
          <w:szCs w:val="30"/>
          <w:highlight w:val="none"/>
        </w:rPr>
      </w:pPr>
      <w:r>
        <w:rPr>
          <w:rFonts w:hint="eastAsia"/>
          <w:b/>
          <w:color w:val="auto"/>
          <w:sz w:val="30"/>
          <w:szCs w:val="30"/>
          <w:highlight w:val="none"/>
        </w:rPr>
        <w:br w:type="page"/>
      </w:r>
    </w:p>
    <w:p w14:paraId="2330AAC5">
      <w:pPr>
        <w:spacing w:line="480" w:lineRule="auto"/>
        <w:jc w:val="center"/>
        <w:outlineLvl w:val="0"/>
        <w:rPr>
          <w:rFonts w:hint="eastAsia" w:ascii="宋体" w:hAnsi="宋体" w:eastAsia="宋体" w:cs="宋体"/>
          <w:b/>
          <w:bCs/>
          <w:color w:val="auto"/>
          <w:kern w:val="0"/>
          <w:sz w:val="30"/>
          <w:szCs w:val="30"/>
          <w:highlight w:val="none"/>
          <w:lang w:eastAsia="zh-CN"/>
        </w:rPr>
      </w:pPr>
      <w:bookmarkStart w:id="180" w:name="_Toc9279"/>
      <w:bookmarkStart w:id="181" w:name="_Toc13258"/>
      <w:r>
        <w:rPr>
          <w:rFonts w:hint="eastAsia" w:ascii="宋体" w:hAnsi="宋体" w:cs="宋体"/>
          <w:b/>
          <w:bCs/>
          <w:color w:val="auto"/>
          <w:kern w:val="0"/>
          <w:sz w:val="30"/>
          <w:szCs w:val="30"/>
          <w:highlight w:val="none"/>
        </w:rPr>
        <w:t>中小企业声明函</w:t>
      </w:r>
      <w:r>
        <w:rPr>
          <w:rFonts w:hint="eastAsia" w:ascii="宋体" w:hAnsi="宋体" w:cs="宋体"/>
          <w:b/>
          <w:bCs/>
          <w:color w:val="auto"/>
          <w:kern w:val="0"/>
          <w:sz w:val="30"/>
          <w:szCs w:val="30"/>
          <w:highlight w:val="none"/>
          <w:lang w:eastAsia="zh-CN"/>
        </w:rPr>
        <w:t>（</w:t>
      </w:r>
      <w:r>
        <w:rPr>
          <w:rFonts w:hint="eastAsia" w:ascii="宋体" w:hAnsi="宋体" w:cs="宋体"/>
          <w:b/>
          <w:bCs/>
          <w:color w:val="auto"/>
          <w:kern w:val="0"/>
          <w:sz w:val="30"/>
          <w:szCs w:val="30"/>
          <w:highlight w:val="none"/>
          <w:lang w:val="en-US" w:eastAsia="zh-CN"/>
        </w:rPr>
        <w:t>货物</w:t>
      </w:r>
      <w:r>
        <w:rPr>
          <w:rFonts w:hint="eastAsia" w:ascii="宋体" w:hAnsi="宋体" w:cs="宋体"/>
          <w:b/>
          <w:bCs/>
          <w:color w:val="auto"/>
          <w:kern w:val="0"/>
          <w:sz w:val="30"/>
          <w:szCs w:val="30"/>
          <w:highlight w:val="none"/>
          <w:lang w:eastAsia="zh-CN"/>
        </w:rPr>
        <w:t>）</w:t>
      </w:r>
      <w:bookmarkEnd w:id="180"/>
      <w:bookmarkEnd w:id="181"/>
    </w:p>
    <w:p w14:paraId="677A94E7">
      <w:pPr>
        <w:snapToGrid w:val="0"/>
        <w:spacing w:line="360" w:lineRule="auto"/>
        <w:ind w:right="482"/>
        <w:jc w:val="left"/>
        <w:rPr>
          <w:rFonts w:hint="eastAsia" w:ascii="宋体" w:hAnsi="宋体"/>
          <w:color w:val="auto"/>
          <w:sz w:val="24"/>
          <w:szCs w:val="20"/>
          <w:highlight w:val="none"/>
        </w:rPr>
      </w:pPr>
    </w:p>
    <w:p w14:paraId="6E0AF030">
      <w:pPr>
        <w:snapToGrid w:val="0"/>
        <w:spacing w:line="360" w:lineRule="auto"/>
        <w:ind w:right="482" w:firstLine="480" w:firstLineChars="200"/>
        <w:jc w:val="left"/>
        <w:rPr>
          <w:rFonts w:hint="eastAsia" w:ascii="宋体" w:hAnsi="宋体"/>
          <w:color w:val="auto"/>
          <w:sz w:val="24"/>
          <w:szCs w:val="20"/>
          <w:highlight w:val="none"/>
        </w:rPr>
      </w:pPr>
      <w:r>
        <w:rPr>
          <w:rFonts w:hint="eastAsia" w:ascii="宋体" w:hAnsi="宋体"/>
          <w:color w:val="auto"/>
          <w:sz w:val="24"/>
          <w:szCs w:val="20"/>
          <w:highlight w:val="none"/>
        </w:rPr>
        <w:t>本公司（联合体）郑重声明，根据《政府采购促进中小企业发展管理办法》（财库﹝2020﹞46 号）的规定，本公司（联合体）参加</w:t>
      </w:r>
      <w:r>
        <w:rPr>
          <w:rFonts w:hint="eastAsia" w:ascii="宋体" w:hAnsi="宋体"/>
          <w:color w:val="auto"/>
          <w:sz w:val="24"/>
          <w:szCs w:val="20"/>
          <w:highlight w:val="none"/>
          <w:u w:val="single"/>
        </w:rPr>
        <w:t>（单位名称）</w:t>
      </w:r>
      <w:r>
        <w:rPr>
          <w:rFonts w:hint="eastAsia" w:ascii="宋体" w:hAnsi="宋体"/>
          <w:color w:val="auto"/>
          <w:sz w:val="24"/>
          <w:szCs w:val="20"/>
          <w:highlight w:val="none"/>
        </w:rPr>
        <w:t>的</w:t>
      </w:r>
      <w:r>
        <w:rPr>
          <w:rFonts w:hint="eastAsia" w:ascii="宋体" w:hAnsi="宋体"/>
          <w:color w:val="auto"/>
          <w:sz w:val="24"/>
          <w:szCs w:val="20"/>
          <w:highlight w:val="none"/>
          <w:u w:val="single"/>
        </w:rPr>
        <w:t>（项目名称）</w:t>
      </w:r>
      <w:r>
        <w:rPr>
          <w:rFonts w:hint="eastAsia" w:ascii="宋体" w:hAnsi="宋体"/>
          <w:color w:val="auto"/>
          <w:sz w:val="24"/>
          <w:szCs w:val="20"/>
          <w:highlight w:val="none"/>
        </w:rPr>
        <w:t>采购活动，提供的货物全部由符合政策要求的中小企业制造。相关企业（含联合体中的中小企业、签订分包意向协议的中小企业）的具体情况如下：</w:t>
      </w:r>
    </w:p>
    <w:p w14:paraId="292CC410">
      <w:pPr>
        <w:snapToGrid w:val="0"/>
        <w:spacing w:line="360" w:lineRule="auto"/>
        <w:ind w:right="482" w:firstLine="480" w:firstLineChars="200"/>
        <w:jc w:val="left"/>
        <w:rPr>
          <w:rFonts w:hint="eastAsia" w:ascii="宋体" w:hAnsi="宋体"/>
          <w:color w:val="auto"/>
          <w:sz w:val="24"/>
          <w:szCs w:val="20"/>
          <w:highlight w:val="none"/>
        </w:rPr>
      </w:pPr>
      <w:r>
        <w:rPr>
          <w:rFonts w:hint="eastAsia" w:ascii="宋体" w:hAnsi="宋体"/>
          <w:color w:val="auto"/>
          <w:sz w:val="24"/>
          <w:szCs w:val="20"/>
          <w:highlight w:val="none"/>
        </w:rPr>
        <w:t xml:space="preserve">1. </w:t>
      </w:r>
      <w:r>
        <w:rPr>
          <w:rFonts w:hint="eastAsia" w:ascii="宋体" w:hAnsi="宋体"/>
          <w:color w:val="auto"/>
          <w:sz w:val="24"/>
          <w:szCs w:val="20"/>
          <w:highlight w:val="none"/>
          <w:u w:val="single"/>
        </w:rPr>
        <w:t xml:space="preserve">（标的名称） </w:t>
      </w:r>
      <w:r>
        <w:rPr>
          <w:rFonts w:hint="eastAsia" w:ascii="宋体" w:hAnsi="宋体"/>
          <w:color w:val="auto"/>
          <w:sz w:val="24"/>
          <w:szCs w:val="20"/>
          <w:highlight w:val="none"/>
        </w:rPr>
        <w:t>，属于</w:t>
      </w:r>
      <w:r>
        <w:rPr>
          <w:rFonts w:hint="eastAsia" w:ascii="宋体" w:hAnsi="宋体"/>
          <w:color w:val="auto"/>
          <w:sz w:val="24"/>
          <w:szCs w:val="20"/>
          <w:highlight w:val="none"/>
          <w:u w:val="single"/>
        </w:rPr>
        <w:t>（采购文件中明确的所属行业）行业</w:t>
      </w:r>
      <w:r>
        <w:rPr>
          <w:rFonts w:hint="eastAsia" w:ascii="宋体" w:hAnsi="宋体"/>
          <w:color w:val="auto"/>
          <w:sz w:val="24"/>
          <w:szCs w:val="20"/>
          <w:highlight w:val="none"/>
        </w:rPr>
        <w:t>；制造商为</w:t>
      </w:r>
      <w:r>
        <w:rPr>
          <w:rFonts w:hint="eastAsia" w:ascii="宋体" w:hAnsi="宋体"/>
          <w:color w:val="auto"/>
          <w:sz w:val="24"/>
          <w:szCs w:val="20"/>
          <w:highlight w:val="none"/>
          <w:u w:val="single"/>
        </w:rPr>
        <w:t>（企业名称），</w:t>
      </w:r>
      <w:r>
        <w:rPr>
          <w:rFonts w:hint="eastAsia" w:ascii="宋体" w:hAnsi="宋体"/>
          <w:color w:val="auto"/>
          <w:sz w:val="24"/>
          <w:szCs w:val="20"/>
          <w:highlight w:val="none"/>
        </w:rPr>
        <w:t>从业人员</w:t>
      </w:r>
      <w:r>
        <w:rPr>
          <w:rFonts w:hint="eastAsia" w:ascii="宋体" w:hAnsi="宋体"/>
          <w:color w:val="auto"/>
          <w:sz w:val="24"/>
          <w:szCs w:val="20"/>
          <w:highlight w:val="none"/>
          <w:u w:val="single"/>
        </w:rPr>
        <w:t xml:space="preserve">     </w:t>
      </w:r>
      <w:r>
        <w:rPr>
          <w:rFonts w:hint="eastAsia" w:ascii="宋体" w:hAnsi="宋体"/>
          <w:color w:val="auto"/>
          <w:sz w:val="24"/>
          <w:szCs w:val="20"/>
          <w:highlight w:val="none"/>
        </w:rPr>
        <w:t>人，营业收入为</w:t>
      </w:r>
      <w:r>
        <w:rPr>
          <w:rFonts w:hint="eastAsia" w:ascii="宋体" w:hAnsi="宋体"/>
          <w:color w:val="auto"/>
          <w:sz w:val="24"/>
          <w:szCs w:val="20"/>
          <w:highlight w:val="none"/>
          <w:u w:val="single"/>
        </w:rPr>
        <w:t xml:space="preserve">     </w:t>
      </w:r>
      <w:r>
        <w:rPr>
          <w:rFonts w:hint="eastAsia" w:ascii="宋体" w:hAnsi="宋体"/>
          <w:color w:val="auto"/>
          <w:sz w:val="24"/>
          <w:szCs w:val="20"/>
          <w:highlight w:val="none"/>
        </w:rPr>
        <w:t>万元，资产总额为</w:t>
      </w:r>
      <w:r>
        <w:rPr>
          <w:rFonts w:hint="eastAsia" w:ascii="宋体" w:hAnsi="宋体"/>
          <w:color w:val="auto"/>
          <w:sz w:val="24"/>
          <w:szCs w:val="20"/>
          <w:highlight w:val="none"/>
          <w:u w:val="single"/>
        </w:rPr>
        <w:t xml:space="preserve">    </w:t>
      </w:r>
      <w:r>
        <w:rPr>
          <w:rFonts w:hint="eastAsia" w:ascii="宋体" w:hAnsi="宋体"/>
          <w:color w:val="auto"/>
          <w:sz w:val="24"/>
          <w:szCs w:val="20"/>
          <w:highlight w:val="none"/>
        </w:rPr>
        <w:t>万元</w:t>
      </w:r>
      <w:r>
        <w:rPr>
          <w:rFonts w:hint="eastAsia" w:ascii="宋体" w:hAnsi="宋体"/>
          <w:color w:val="auto"/>
          <w:sz w:val="24"/>
          <w:szCs w:val="20"/>
          <w:highlight w:val="none"/>
          <w:vertAlign w:val="superscript"/>
        </w:rPr>
        <w:t>1</w:t>
      </w:r>
      <w:r>
        <w:rPr>
          <w:rFonts w:hint="eastAsia" w:ascii="宋体" w:hAnsi="宋体"/>
          <w:color w:val="auto"/>
          <w:sz w:val="24"/>
          <w:szCs w:val="20"/>
          <w:highlight w:val="none"/>
        </w:rPr>
        <w:t>，属于</w:t>
      </w:r>
      <w:r>
        <w:rPr>
          <w:rFonts w:hint="eastAsia" w:ascii="宋体" w:hAnsi="宋体"/>
          <w:color w:val="auto"/>
          <w:sz w:val="24"/>
          <w:szCs w:val="20"/>
          <w:highlight w:val="none"/>
          <w:u w:val="single"/>
        </w:rPr>
        <w:t>（中型企业、小型企业、微型企业）</w:t>
      </w:r>
      <w:r>
        <w:rPr>
          <w:rFonts w:hint="eastAsia" w:ascii="宋体" w:hAnsi="宋体"/>
          <w:color w:val="auto"/>
          <w:sz w:val="24"/>
          <w:szCs w:val="20"/>
          <w:highlight w:val="none"/>
        </w:rPr>
        <w:t>；</w:t>
      </w:r>
    </w:p>
    <w:p w14:paraId="27872C14">
      <w:pPr>
        <w:snapToGrid w:val="0"/>
        <w:spacing w:line="360" w:lineRule="auto"/>
        <w:ind w:right="482" w:firstLine="480" w:firstLineChars="200"/>
        <w:jc w:val="left"/>
        <w:rPr>
          <w:rFonts w:hint="eastAsia" w:ascii="宋体" w:hAnsi="宋体"/>
          <w:color w:val="auto"/>
          <w:sz w:val="24"/>
          <w:szCs w:val="20"/>
          <w:highlight w:val="none"/>
        </w:rPr>
      </w:pPr>
      <w:r>
        <w:rPr>
          <w:rFonts w:hint="eastAsia" w:ascii="宋体" w:hAnsi="宋体"/>
          <w:color w:val="auto"/>
          <w:sz w:val="24"/>
          <w:szCs w:val="20"/>
          <w:highlight w:val="none"/>
        </w:rPr>
        <w:t xml:space="preserve">2. </w:t>
      </w:r>
      <w:r>
        <w:rPr>
          <w:rFonts w:hint="eastAsia" w:ascii="宋体" w:hAnsi="宋体"/>
          <w:color w:val="auto"/>
          <w:sz w:val="24"/>
          <w:szCs w:val="20"/>
          <w:highlight w:val="none"/>
          <w:u w:val="single"/>
        </w:rPr>
        <w:t xml:space="preserve">（标的名称） </w:t>
      </w:r>
      <w:r>
        <w:rPr>
          <w:rFonts w:hint="eastAsia" w:ascii="宋体" w:hAnsi="宋体"/>
          <w:color w:val="auto"/>
          <w:sz w:val="24"/>
          <w:szCs w:val="20"/>
          <w:highlight w:val="none"/>
        </w:rPr>
        <w:t>，属于</w:t>
      </w:r>
      <w:r>
        <w:rPr>
          <w:rFonts w:hint="eastAsia" w:ascii="宋体" w:hAnsi="宋体"/>
          <w:color w:val="auto"/>
          <w:sz w:val="24"/>
          <w:szCs w:val="20"/>
          <w:highlight w:val="none"/>
          <w:u w:val="single"/>
        </w:rPr>
        <w:t>（采购文件中明确的所属行业）行业</w:t>
      </w:r>
      <w:r>
        <w:rPr>
          <w:rFonts w:hint="eastAsia" w:ascii="宋体" w:hAnsi="宋体"/>
          <w:color w:val="auto"/>
          <w:sz w:val="24"/>
          <w:szCs w:val="20"/>
          <w:highlight w:val="none"/>
        </w:rPr>
        <w:t>；制造商为</w:t>
      </w:r>
      <w:r>
        <w:rPr>
          <w:rFonts w:hint="eastAsia" w:ascii="宋体" w:hAnsi="宋体"/>
          <w:color w:val="auto"/>
          <w:sz w:val="24"/>
          <w:szCs w:val="20"/>
          <w:highlight w:val="none"/>
          <w:u w:val="single"/>
        </w:rPr>
        <w:t>（企业名称）</w:t>
      </w:r>
      <w:r>
        <w:rPr>
          <w:rFonts w:hint="eastAsia" w:ascii="宋体" w:hAnsi="宋体"/>
          <w:color w:val="auto"/>
          <w:sz w:val="24"/>
          <w:szCs w:val="20"/>
          <w:highlight w:val="none"/>
        </w:rPr>
        <w:t>，从业人员</w:t>
      </w:r>
      <w:r>
        <w:rPr>
          <w:rFonts w:hint="eastAsia" w:ascii="宋体" w:hAnsi="宋体"/>
          <w:color w:val="auto"/>
          <w:sz w:val="24"/>
          <w:szCs w:val="20"/>
          <w:highlight w:val="none"/>
          <w:u w:val="single"/>
        </w:rPr>
        <w:t xml:space="preserve">     </w:t>
      </w:r>
      <w:r>
        <w:rPr>
          <w:rFonts w:hint="eastAsia" w:ascii="宋体" w:hAnsi="宋体"/>
          <w:color w:val="auto"/>
          <w:sz w:val="24"/>
          <w:szCs w:val="20"/>
          <w:highlight w:val="none"/>
        </w:rPr>
        <w:t>人，营业收入为</w:t>
      </w:r>
      <w:r>
        <w:rPr>
          <w:rFonts w:hint="eastAsia" w:ascii="宋体" w:hAnsi="宋体"/>
          <w:color w:val="auto"/>
          <w:sz w:val="24"/>
          <w:szCs w:val="20"/>
          <w:highlight w:val="none"/>
          <w:u w:val="single"/>
        </w:rPr>
        <w:t xml:space="preserve">     </w:t>
      </w:r>
      <w:r>
        <w:rPr>
          <w:rFonts w:hint="eastAsia" w:ascii="宋体" w:hAnsi="宋体"/>
          <w:color w:val="auto"/>
          <w:sz w:val="24"/>
          <w:szCs w:val="20"/>
          <w:highlight w:val="none"/>
        </w:rPr>
        <w:t>万元，资产总额为</w:t>
      </w:r>
      <w:r>
        <w:rPr>
          <w:rFonts w:hint="eastAsia" w:ascii="宋体" w:hAnsi="宋体"/>
          <w:color w:val="auto"/>
          <w:sz w:val="24"/>
          <w:szCs w:val="20"/>
          <w:highlight w:val="none"/>
          <w:u w:val="single"/>
        </w:rPr>
        <w:t xml:space="preserve">      </w:t>
      </w:r>
      <w:r>
        <w:rPr>
          <w:rFonts w:hint="eastAsia" w:ascii="宋体" w:hAnsi="宋体"/>
          <w:color w:val="auto"/>
          <w:sz w:val="24"/>
          <w:szCs w:val="20"/>
          <w:highlight w:val="none"/>
        </w:rPr>
        <w:t>万元，属于</w:t>
      </w:r>
      <w:r>
        <w:rPr>
          <w:rFonts w:hint="eastAsia" w:ascii="宋体" w:hAnsi="宋体"/>
          <w:color w:val="auto"/>
          <w:sz w:val="24"/>
          <w:szCs w:val="20"/>
          <w:highlight w:val="none"/>
          <w:u w:val="single"/>
        </w:rPr>
        <w:t>（中型企业、小型企业、微型企业）</w:t>
      </w:r>
      <w:r>
        <w:rPr>
          <w:rFonts w:hint="eastAsia" w:ascii="宋体" w:hAnsi="宋体"/>
          <w:color w:val="auto"/>
          <w:sz w:val="24"/>
          <w:szCs w:val="20"/>
          <w:highlight w:val="none"/>
        </w:rPr>
        <w:t>；</w:t>
      </w:r>
    </w:p>
    <w:p w14:paraId="2A6E9B5D">
      <w:pPr>
        <w:snapToGrid w:val="0"/>
        <w:spacing w:line="360" w:lineRule="auto"/>
        <w:ind w:right="482" w:firstLine="480" w:firstLineChars="200"/>
        <w:jc w:val="left"/>
        <w:rPr>
          <w:rFonts w:ascii="宋体" w:hAnsi="宋体"/>
          <w:color w:val="auto"/>
          <w:sz w:val="24"/>
          <w:szCs w:val="20"/>
          <w:highlight w:val="none"/>
        </w:rPr>
      </w:pPr>
      <w:r>
        <w:rPr>
          <w:rFonts w:hint="eastAsia" w:ascii="宋体" w:hAnsi="宋体"/>
          <w:color w:val="auto"/>
          <w:sz w:val="24"/>
          <w:szCs w:val="20"/>
          <w:highlight w:val="none"/>
        </w:rPr>
        <w:t>……</w:t>
      </w:r>
    </w:p>
    <w:p w14:paraId="33DB8FBC">
      <w:pPr>
        <w:snapToGrid w:val="0"/>
        <w:spacing w:line="360" w:lineRule="auto"/>
        <w:ind w:right="482" w:firstLine="480" w:firstLineChars="200"/>
        <w:jc w:val="left"/>
        <w:rPr>
          <w:rFonts w:hint="eastAsia" w:ascii="宋体" w:hAnsi="宋体"/>
          <w:color w:val="auto"/>
          <w:sz w:val="24"/>
          <w:szCs w:val="20"/>
          <w:highlight w:val="none"/>
        </w:rPr>
      </w:pPr>
      <w:r>
        <w:rPr>
          <w:rFonts w:hint="eastAsia" w:ascii="宋体" w:hAnsi="宋体"/>
          <w:color w:val="auto"/>
          <w:sz w:val="24"/>
          <w:szCs w:val="20"/>
          <w:highlight w:val="none"/>
        </w:rPr>
        <w:t>以上企业，不属于大企业的分支机构，不存在控股股东为大企业的情形，也不存在与大企业的负责人为同一人的情形。</w:t>
      </w:r>
    </w:p>
    <w:p w14:paraId="286C4EB7">
      <w:pPr>
        <w:snapToGrid w:val="0"/>
        <w:spacing w:line="360" w:lineRule="auto"/>
        <w:ind w:right="482" w:firstLine="480" w:firstLineChars="200"/>
        <w:jc w:val="left"/>
        <w:rPr>
          <w:rFonts w:hint="eastAsia" w:ascii="宋体" w:hAnsi="宋体"/>
          <w:color w:val="auto"/>
          <w:sz w:val="24"/>
          <w:szCs w:val="20"/>
          <w:highlight w:val="none"/>
        </w:rPr>
      </w:pPr>
      <w:r>
        <w:rPr>
          <w:rFonts w:hint="eastAsia" w:ascii="宋体" w:hAnsi="宋体"/>
          <w:color w:val="auto"/>
          <w:sz w:val="24"/>
          <w:szCs w:val="20"/>
          <w:highlight w:val="none"/>
        </w:rPr>
        <w:t>本企业对上述声明内容的真实性负责。如有虚假，将依法承担相应责任。</w:t>
      </w:r>
    </w:p>
    <w:p w14:paraId="7292B1DA">
      <w:pPr>
        <w:snapToGrid w:val="0"/>
        <w:spacing w:line="360" w:lineRule="auto"/>
        <w:ind w:right="482" w:firstLine="480" w:firstLineChars="200"/>
        <w:jc w:val="left"/>
        <w:rPr>
          <w:rFonts w:hint="eastAsia" w:ascii="宋体" w:hAnsi="宋体"/>
          <w:color w:val="auto"/>
          <w:sz w:val="24"/>
          <w:szCs w:val="20"/>
          <w:highlight w:val="none"/>
        </w:rPr>
      </w:pPr>
    </w:p>
    <w:p w14:paraId="0FF13F2D">
      <w:pPr>
        <w:snapToGrid w:val="0"/>
        <w:spacing w:line="360" w:lineRule="auto"/>
        <w:ind w:right="482" w:firstLine="480" w:firstLineChars="200"/>
        <w:jc w:val="left"/>
        <w:rPr>
          <w:rFonts w:hint="eastAsia" w:ascii="宋体" w:hAnsi="宋体"/>
          <w:color w:val="auto"/>
          <w:sz w:val="24"/>
          <w:szCs w:val="20"/>
          <w:highlight w:val="none"/>
        </w:rPr>
      </w:pPr>
    </w:p>
    <w:p w14:paraId="07936D8F">
      <w:pPr>
        <w:snapToGrid w:val="0"/>
        <w:spacing w:line="360" w:lineRule="auto"/>
        <w:ind w:right="482" w:firstLine="480" w:firstLineChars="200"/>
        <w:jc w:val="left"/>
        <w:rPr>
          <w:rFonts w:hint="eastAsia" w:ascii="宋体" w:hAnsi="宋体"/>
          <w:color w:val="auto"/>
          <w:sz w:val="24"/>
          <w:szCs w:val="20"/>
          <w:highlight w:val="none"/>
        </w:rPr>
      </w:pPr>
    </w:p>
    <w:p w14:paraId="78F1981B">
      <w:pPr>
        <w:snapToGrid w:val="0"/>
        <w:spacing w:line="360" w:lineRule="auto"/>
        <w:ind w:right="482" w:firstLine="5527" w:firstLineChars="2303"/>
        <w:jc w:val="left"/>
        <w:rPr>
          <w:rFonts w:hint="eastAsia" w:ascii="宋体" w:hAnsi="宋体"/>
          <w:color w:val="auto"/>
          <w:sz w:val="24"/>
          <w:szCs w:val="20"/>
          <w:highlight w:val="none"/>
        </w:rPr>
      </w:pPr>
      <w:r>
        <w:rPr>
          <w:rFonts w:hint="eastAsia" w:ascii="宋体" w:hAnsi="宋体"/>
          <w:color w:val="auto"/>
          <w:sz w:val="24"/>
          <w:szCs w:val="20"/>
          <w:highlight w:val="none"/>
        </w:rPr>
        <w:t>企业名称（盖章）：</w:t>
      </w:r>
    </w:p>
    <w:p w14:paraId="4DF5DA57">
      <w:pPr>
        <w:snapToGrid w:val="0"/>
        <w:spacing w:line="360" w:lineRule="auto"/>
        <w:ind w:right="482" w:firstLine="5527" w:firstLineChars="2303"/>
        <w:jc w:val="left"/>
        <w:rPr>
          <w:rFonts w:hint="eastAsia" w:ascii="宋体" w:hAnsi="宋体"/>
          <w:color w:val="auto"/>
          <w:sz w:val="24"/>
          <w:szCs w:val="20"/>
          <w:highlight w:val="none"/>
        </w:rPr>
      </w:pPr>
      <w:r>
        <w:rPr>
          <w:rFonts w:hint="eastAsia" w:ascii="宋体" w:hAnsi="宋体"/>
          <w:color w:val="auto"/>
          <w:sz w:val="24"/>
          <w:szCs w:val="20"/>
          <w:highlight w:val="none"/>
        </w:rPr>
        <w:t>日期：</w:t>
      </w:r>
    </w:p>
    <w:p w14:paraId="1D92D607">
      <w:pPr>
        <w:spacing w:line="480" w:lineRule="auto"/>
        <w:jc w:val="center"/>
        <w:rPr>
          <w:rFonts w:ascii="宋体" w:hAnsi="宋体"/>
          <w:color w:val="auto"/>
          <w:sz w:val="24"/>
          <w:szCs w:val="20"/>
          <w:highlight w:val="none"/>
        </w:rPr>
      </w:pPr>
    </w:p>
    <w:p w14:paraId="241D49AF">
      <w:pPr>
        <w:spacing w:line="360" w:lineRule="auto"/>
        <w:jc w:val="left"/>
        <w:rPr>
          <w:rFonts w:hint="eastAsia" w:ascii="宋体" w:hAnsi="宋体" w:cs="宋体"/>
          <w:b/>
          <w:bCs/>
          <w:color w:val="auto"/>
          <w:sz w:val="24"/>
          <w:szCs w:val="20"/>
          <w:highlight w:val="none"/>
        </w:rPr>
      </w:pPr>
      <w:r>
        <w:rPr>
          <w:rFonts w:hint="eastAsia" w:ascii="宋体" w:hAnsi="宋体" w:cs="宋体"/>
          <w:b/>
          <w:bCs/>
          <w:color w:val="auto"/>
          <w:sz w:val="24"/>
          <w:szCs w:val="20"/>
          <w:highlight w:val="none"/>
        </w:rPr>
        <w:t>注：1、从业人员、营业收入、资产总额填报上一年度数据，无上一年度数据的新成立企业可不填报。</w:t>
      </w:r>
    </w:p>
    <w:p w14:paraId="6AB08D63">
      <w:pPr>
        <w:numPr>
          <w:ilvl w:val="0"/>
          <w:numId w:val="0"/>
        </w:numPr>
        <w:spacing w:line="360" w:lineRule="auto"/>
        <w:ind w:left="0" w:leftChars="0" w:firstLine="482" w:firstLineChars="200"/>
        <w:jc w:val="both"/>
        <w:rPr>
          <w:rFonts w:hint="eastAsia" w:ascii="宋体" w:hAnsi="宋体" w:cs="宋体"/>
          <w:b/>
          <w:bCs/>
          <w:color w:val="auto"/>
          <w:sz w:val="24"/>
          <w:szCs w:val="20"/>
          <w:highlight w:val="none"/>
        </w:rPr>
      </w:pPr>
      <w:r>
        <w:rPr>
          <w:rFonts w:hint="eastAsia" w:ascii="宋体" w:hAnsi="宋体" w:cs="宋体"/>
          <w:b/>
          <w:bCs/>
          <w:color w:val="auto"/>
          <w:kern w:val="2"/>
          <w:sz w:val="24"/>
          <w:szCs w:val="20"/>
          <w:highlight w:val="none"/>
          <w:lang w:val="en-US" w:eastAsia="zh-CN" w:bidi="ar-SA"/>
        </w:rPr>
        <w:t>2、</w:t>
      </w:r>
      <w:r>
        <w:rPr>
          <w:rFonts w:hint="eastAsia" w:ascii="宋体" w:hAnsi="宋体" w:cs="宋体"/>
          <w:b/>
          <w:bCs/>
          <w:color w:val="auto"/>
          <w:sz w:val="24"/>
          <w:szCs w:val="20"/>
          <w:highlight w:val="none"/>
        </w:rPr>
        <w:t>中小企业划分标准见工业和信息化部国家统计局国家发展和改革委员财政部《关于印发中小企业划型标准规定的通知》（工信部联企业【2011】300号）。</w:t>
      </w:r>
    </w:p>
    <w:p w14:paraId="7E109B06">
      <w:pPr>
        <w:numPr>
          <w:ilvl w:val="0"/>
          <w:numId w:val="0"/>
        </w:numPr>
        <w:spacing w:line="360" w:lineRule="auto"/>
        <w:ind w:leftChars="200"/>
        <w:jc w:val="both"/>
        <w:rPr>
          <w:rFonts w:hint="default" w:ascii="宋体" w:hAnsi="宋体" w:eastAsia="宋体" w:cs="宋体"/>
          <w:b/>
          <w:bCs/>
          <w:color w:val="auto"/>
          <w:sz w:val="24"/>
          <w:szCs w:val="20"/>
          <w:highlight w:val="none"/>
          <w:lang w:val="en-US" w:eastAsia="zh-CN"/>
        </w:rPr>
      </w:pPr>
      <w:r>
        <w:rPr>
          <w:rFonts w:hint="eastAsia" w:ascii="宋体" w:hAnsi="宋体" w:cs="宋体"/>
          <w:b/>
          <w:bCs/>
          <w:color w:val="auto"/>
          <w:sz w:val="24"/>
          <w:szCs w:val="20"/>
          <w:highlight w:val="none"/>
          <w:lang w:val="en-US" w:eastAsia="zh-CN"/>
        </w:rPr>
        <w:t>3、本次采购标的对应的中小企业划分标准所属行业：制造业</w:t>
      </w:r>
    </w:p>
    <w:p w14:paraId="7F397CD3">
      <w:pPr>
        <w:rPr>
          <w:color w:val="auto"/>
          <w:highlight w:val="none"/>
        </w:rPr>
      </w:pPr>
    </w:p>
    <w:sectPr>
      <w:pgSz w:w="11906" w:h="16838"/>
      <w:pgMar w:top="1440" w:right="1803" w:bottom="1440" w:left="1803"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_5b8b_4f53">
    <w:altName w:val="Times New Roman"/>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4956F">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12279">
    <w:pPr>
      <w:pStyle w:val="12"/>
      <w:framePr w:wrap="around" w:vAnchor="text" w:hAnchor="margin" w:xAlign="center" w:y="1"/>
      <w:rPr>
        <w:rStyle w:val="20"/>
      </w:rPr>
    </w:pPr>
    <w:r>
      <w:fldChar w:fldCharType="begin"/>
    </w:r>
    <w:r>
      <w:rPr>
        <w:rStyle w:val="20"/>
      </w:rPr>
      <w:instrText xml:space="preserve">PAGE  </w:instrText>
    </w:r>
    <w:r>
      <w:fldChar w:fldCharType="end"/>
    </w:r>
  </w:p>
  <w:p w14:paraId="248A6D54">
    <w:pPr>
      <w:pStyle w:val="1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8508F">
    <w:pPr>
      <w:pStyle w:val="12"/>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79BA3">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E179BA3">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SystemFonts/>
  <w:bordersDoNotSurroundHeader w:val="0"/>
  <w:bordersDoNotSurroundFooter w:val="0"/>
  <w:trackRevisions w:val="1"/>
  <w:documentProtection w:edit="trackedChanges" w:enforcement="1" w:cryptProviderType="rsaFull" w:cryptAlgorithmClass="hash" w:cryptAlgorithmType="typeAny" w:cryptAlgorithmSid="4" w:cryptSpinCount="0" w:hash="6uDRz5fblSvimHEh2e6X0lZmlIk=" w:salt="80WupsCFOvcMY2cuJEkS8g=="/>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157AF6"/>
    <w:rsid w:val="021A09FD"/>
    <w:rsid w:val="06FC7C8A"/>
    <w:rsid w:val="0C2C3490"/>
    <w:rsid w:val="0EB97CC2"/>
    <w:rsid w:val="0F361811"/>
    <w:rsid w:val="115B223C"/>
    <w:rsid w:val="13A24CF6"/>
    <w:rsid w:val="158C3568"/>
    <w:rsid w:val="1A815666"/>
    <w:rsid w:val="1E9E3F50"/>
    <w:rsid w:val="24637B8A"/>
    <w:rsid w:val="246C2152"/>
    <w:rsid w:val="24E84DAB"/>
    <w:rsid w:val="2D343A0C"/>
    <w:rsid w:val="39241029"/>
    <w:rsid w:val="3B482958"/>
    <w:rsid w:val="3D0A6058"/>
    <w:rsid w:val="3E7D08A4"/>
    <w:rsid w:val="40011C8E"/>
    <w:rsid w:val="40157AF6"/>
    <w:rsid w:val="4278084D"/>
    <w:rsid w:val="45596713"/>
    <w:rsid w:val="479F062A"/>
    <w:rsid w:val="4CD8140F"/>
    <w:rsid w:val="51736DAF"/>
    <w:rsid w:val="53953895"/>
    <w:rsid w:val="56DA342C"/>
    <w:rsid w:val="573214BA"/>
    <w:rsid w:val="613D7AE7"/>
    <w:rsid w:val="62712E97"/>
    <w:rsid w:val="67AC671F"/>
    <w:rsid w:val="691427CE"/>
    <w:rsid w:val="70067E0C"/>
    <w:rsid w:val="760D0672"/>
    <w:rsid w:val="7A570AB8"/>
    <w:rsid w:val="7C3E2EFA"/>
    <w:rsid w:val="7EF5193B"/>
    <w:rsid w:val="7FBA5A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iPriority="99"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10">
    <w:name w:val="heading 3"/>
    <w:basedOn w:val="1"/>
    <w:next w:val="1"/>
    <w:link w:val="22"/>
    <w:semiHidden/>
    <w:unhideWhenUsed/>
    <w:qFormat/>
    <w:uiPriority w:val="0"/>
    <w:pPr>
      <w:keepNext/>
      <w:keepLines/>
      <w:spacing w:line="360" w:lineRule="auto"/>
      <w:outlineLvl w:val="2"/>
    </w:pPr>
    <w:rPr>
      <w:rFonts w:asciiTheme="minorAscii" w:hAnsiTheme="minorAscii"/>
      <w:b/>
      <w:bCs/>
      <w:sz w:val="28"/>
      <w:szCs w:val="32"/>
    </w:rPr>
  </w:style>
  <w:style w:type="character" w:default="1" w:styleId="19">
    <w:name w:val="Default Paragraph Font"/>
    <w:autoRedefine/>
    <w:semiHidden/>
    <w:unhideWhenUsed/>
    <w:qFormat/>
    <w:uiPriority w:val="1"/>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widowControl/>
      <w:spacing w:after="120" w:line="360" w:lineRule="auto"/>
      <w:ind w:left="420" w:leftChars="200" w:firstLine="420" w:firstLineChars="200"/>
    </w:pPr>
    <w:rPr>
      <w:b w:val="0"/>
      <w:kern w:val="2"/>
      <w:sz w:val="21"/>
      <w:szCs w:val="21"/>
    </w:rPr>
  </w:style>
  <w:style w:type="paragraph" w:styleId="3">
    <w:name w:val="Body Text Indent"/>
    <w:basedOn w:val="1"/>
    <w:next w:val="4"/>
    <w:qFormat/>
    <w:uiPriority w:val="0"/>
    <w:pPr>
      <w:spacing w:line="360" w:lineRule="auto"/>
      <w:ind w:firstLine="482" w:firstLineChars="100"/>
      <w:jc w:val="center"/>
    </w:pPr>
    <w:rPr>
      <w:rFonts w:ascii="黑体" w:eastAsia="黑体"/>
      <w:b/>
      <w:sz w:val="48"/>
      <w:szCs w:val="28"/>
    </w:rPr>
  </w:style>
  <w:style w:type="paragraph" w:styleId="4">
    <w:name w:val="envelope return"/>
    <w:basedOn w:val="1"/>
    <w:unhideWhenUsed/>
    <w:qFormat/>
    <w:uiPriority w:val="99"/>
    <w:pPr>
      <w:snapToGrid w:val="0"/>
    </w:pPr>
    <w:rPr>
      <w:rFonts w:ascii="等线 Light" w:hAnsi="等线 Light" w:eastAsia="等线 Light" w:cs="Times New Roman"/>
    </w:rPr>
  </w:style>
  <w:style w:type="paragraph" w:styleId="5">
    <w:name w:val="Body Text First Indent"/>
    <w:basedOn w:val="6"/>
    <w:next w:val="2"/>
    <w:qFormat/>
    <w:uiPriority w:val="0"/>
    <w:pPr>
      <w:ind w:firstLine="420" w:firstLineChars="100"/>
    </w:pPr>
  </w:style>
  <w:style w:type="paragraph" w:styleId="6">
    <w:name w:val="Body Text"/>
    <w:basedOn w:val="1"/>
    <w:next w:val="7"/>
    <w:qFormat/>
    <w:uiPriority w:val="0"/>
    <w:pPr>
      <w:spacing w:after="120" w:afterLines="0" w:afterAutospacing="0"/>
    </w:pPr>
  </w:style>
  <w:style w:type="paragraph" w:styleId="7">
    <w:name w:val="Body Text 2"/>
    <w:basedOn w:val="1"/>
    <w:next w:val="8"/>
    <w:qFormat/>
    <w:uiPriority w:val="0"/>
    <w:pPr>
      <w:spacing w:after="120" w:line="480" w:lineRule="auto"/>
      <w:ind w:firstLine="560" w:firstLineChars="200"/>
    </w:pPr>
    <w:rPr>
      <w:rFonts w:eastAsia="仿宋_GB2312"/>
      <w:sz w:val="28"/>
      <w:szCs w:val="24"/>
    </w:rPr>
  </w:style>
  <w:style w:type="paragraph" w:styleId="8">
    <w:name w:val="Plain Text"/>
    <w:basedOn w:val="1"/>
    <w:next w:val="9"/>
    <w:qFormat/>
    <w:uiPriority w:val="0"/>
    <w:rPr>
      <w:rFonts w:ascii="宋体" w:hAnsi="Courier New" w:cs="Courier New"/>
      <w:szCs w:val="21"/>
    </w:rPr>
  </w:style>
  <w:style w:type="paragraph" w:styleId="9">
    <w:name w:val="index 7"/>
    <w:basedOn w:val="1"/>
    <w:next w:val="1"/>
    <w:unhideWhenUsed/>
    <w:qFormat/>
    <w:uiPriority w:val="99"/>
    <w:pPr>
      <w:spacing w:beforeLines="0" w:afterLines="0"/>
      <w:ind w:left="1200" w:leftChars="1200"/>
    </w:pPr>
    <w:rPr>
      <w:rFonts w:hint="eastAsia"/>
      <w:sz w:val="21"/>
      <w:szCs w:val="24"/>
    </w:rPr>
  </w:style>
  <w:style w:type="paragraph" w:styleId="11">
    <w:name w:val="toc 3"/>
    <w:basedOn w:val="1"/>
    <w:next w:val="1"/>
    <w:qFormat/>
    <w:uiPriority w:val="0"/>
    <w:pPr>
      <w:ind w:left="840" w:leftChars="400"/>
    </w:pPr>
  </w:style>
  <w:style w:type="paragraph" w:styleId="12">
    <w:name w:val="footer"/>
    <w:basedOn w:val="1"/>
    <w:unhideWhenUsed/>
    <w:qFormat/>
    <w:uiPriority w:val="0"/>
    <w:pPr>
      <w:tabs>
        <w:tab w:val="center" w:pos="4153"/>
        <w:tab w:val="right" w:pos="8306"/>
      </w:tabs>
      <w:snapToGrid w:val="0"/>
      <w:jc w:val="left"/>
    </w:pPr>
    <w:rPr>
      <w:kern w:val="0"/>
      <w:sz w:val="18"/>
      <w:szCs w:val="18"/>
    </w:rPr>
  </w:style>
  <w:style w:type="paragraph" w:styleId="13">
    <w:name w:val="header"/>
    <w:basedOn w:val="1"/>
    <w:next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Quote"/>
    <w:basedOn w:val="1"/>
    <w:next w:val="1"/>
    <w:autoRedefine/>
    <w:qFormat/>
    <w:uiPriority w:val="0"/>
    <w:rPr>
      <w:rFonts w:asciiTheme="minorHAnsi" w:hAnsiTheme="minorHAnsi" w:eastAsiaTheme="minorEastAsia" w:cstheme="minorBidi"/>
      <w:i/>
      <w:iCs/>
      <w:color w:val="000000"/>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20">
    <w:name w:val="page number"/>
    <w:basedOn w:val="19"/>
    <w:qFormat/>
    <w:uiPriority w:val="0"/>
  </w:style>
  <w:style w:type="character" w:styleId="21">
    <w:name w:val="Hyperlink"/>
    <w:qFormat/>
    <w:uiPriority w:val="99"/>
    <w:rPr>
      <w:rFonts w:cs="Times New Roman"/>
      <w:color w:val="000000"/>
      <w:sz w:val="18"/>
      <w:szCs w:val="18"/>
      <w:u w:val="none"/>
    </w:rPr>
  </w:style>
  <w:style w:type="character" w:customStyle="1" w:styleId="22">
    <w:name w:val="标题 3 Char"/>
    <w:basedOn w:val="19"/>
    <w:link w:val="10"/>
    <w:autoRedefine/>
    <w:qFormat/>
    <w:uiPriority w:val="9"/>
    <w:rPr>
      <w:rFonts w:asciiTheme="minorAscii" w:hAnsiTheme="minorAscii" w:eastAsiaTheme="minorEastAsia"/>
      <w:b/>
      <w:bCs/>
      <w:sz w:val="28"/>
      <w:szCs w:val="32"/>
    </w:rPr>
  </w:style>
  <w:style w:type="paragraph" w:styleId="23">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正文首行缩进1"/>
    <w:basedOn w:val="1"/>
    <w:next w:val="25"/>
    <w:qFormat/>
    <w:uiPriority w:val="0"/>
    <w:pPr>
      <w:spacing w:line="276" w:lineRule="auto"/>
      <w:ind w:firstLine="420" w:firstLineChars="100"/>
    </w:pPr>
    <w:rPr>
      <w:rFonts w:ascii="宋体" w:hAnsi="Calibri" w:eastAsia="仿宋"/>
      <w:sz w:val="24"/>
      <w:szCs w:val="21"/>
    </w:rPr>
  </w:style>
  <w:style w:type="paragraph" w:customStyle="1" w:styleId="25">
    <w:name w:val="正文首行缩进 21"/>
    <w:basedOn w:val="1"/>
    <w:qFormat/>
    <w:uiPriority w:val="0"/>
    <w:pPr>
      <w:ind w:firstLine="420" w:firstLineChars="200"/>
    </w:pPr>
    <w:rPr>
      <w:rFonts w:eastAsia="仿宋"/>
      <w:sz w:val="24"/>
      <w:szCs w:val="21"/>
    </w:rPr>
  </w:style>
  <w:style w:type="character" w:customStyle="1" w:styleId="26">
    <w:name w:val="NormalCharacter"/>
    <w:qFormat/>
    <w:uiPriority w:val="0"/>
  </w:style>
  <w:style w:type="character" w:customStyle="1" w:styleId="27">
    <w:name w:val="font81"/>
    <w:basedOn w:val="19"/>
    <w:qFormat/>
    <w:uiPriority w:val="0"/>
    <w:rPr>
      <w:rFonts w:hint="eastAsia" w:ascii="宋体" w:hAnsi="宋体" w:eastAsia="宋体" w:cs="宋体"/>
      <w:color w:val="000000"/>
      <w:sz w:val="20"/>
      <w:szCs w:val="20"/>
      <w:u w:val="single"/>
    </w:rPr>
  </w:style>
  <w:style w:type="character" w:customStyle="1" w:styleId="28">
    <w:name w:val="font21"/>
    <w:basedOn w:val="19"/>
    <w:qFormat/>
    <w:uiPriority w:val="0"/>
    <w:rPr>
      <w:rFonts w:hint="eastAsia" w:ascii="仿宋_GB2312" w:eastAsia="仿宋_GB2312" w:cs="仿宋_GB2312"/>
      <w:color w:val="000000"/>
      <w:sz w:val="20"/>
      <w:szCs w:val="20"/>
      <w:u w:val="none"/>
    </w:rPr>
  </w:style>
  <w:style w:type="paragraph" w:customStyle="1" w:styleId="29">
    <w:name w:val="Default"/>
    <w:next w:val="30"/>
    <w:qFormat/>
    <w:uiPriority w:val="0"/>
    <w:pPr>
      <w:widowControl w:val="0"/>
      <w:autoSpaceDE w:val="0"/>
      <w:autoSpaceDN w:val="0"/>
      <w:adjustRightInd w:val="0"/>
    </w:pPr>
    <w:rPr>
      <w:rFonts w:ascii="宋体" w:hAnsi="Times New Roman" w:eastAsia="宋体" w:cs="Times New Roman"/>
      <w:color w:val="000000"/>
      <w:kern w:val="2"/>
      <w:sz w:val="24"/>
      <w:szCs w:val="24"/>
      <w:lang w:val="en-US" w:eastAsia="zh-CN" w:bidi="ar-SA"/>
    </w:rPr>
  </w:style>
  <w:style w:type="paragraph" w:customStyle="1" w:styleId="30">
    <w:name w:val="大标题"/>
    <w:basedOn w:val="1"/>
    <w:next w:val="2"/>
    <w:qFormat/>
    <w:uiPriority w:val="0"/>
    <w:pPr>
      <w:pageBreakBefore/>
      <w:spacing w:after="200" w:line="720" w:lineRule="auto"/>
      <w:jc w:val="center"/>
      <w:outlineLvl w:val="0"/>
    </w:pPr>
    <w:rPr>
      <w:rFonts w:ascii="黑体" w:hAnsi="Calibri" w:eastAsia="黑体"/>
      <w:sz w:val="32"/>
      <w:szCs w:val="30"/>
      <w:lang w:eastAsia="en-US" w:bidi="en-US"/>
    </w:rPr>
  </w:style>
  <w:style w:type="paragraph" w:customStyle="1" w:styleId="31">
    <w:name w:val="Table Paragraph"/>
    <w:basedOn w:val="1"/>
    <w:qFormat/>
    <w:uiPriority w:val="1"/>
    <w:pPr>
      <w:autoSpaceDE w:val="0"/>
      <w:autoSpaceDN w:val="0"/>
      <w:jc w:val="left"/>
    </w:pPr>
    <w:rPr>
      <w:rFonts w:ascii="宋体" w:hAnsi="宋体" w:cs="宋体"/>
      <w:kern w:val="0"/>
      <w:sz w:val="22"/>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68</Pages>
  <Words>12008</Words>
  <Characters>13126</Characters>
  <Lines>0</Lines>
  <Paragraphs>0</Paragraphs>
  <TotalTime>1</TotalTime>
  <ScaleCrop>false</ScaleCrop>
  <LinksUpToDate>false</LinksUpToDate>
  <CharactersWithSpaces>13216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2025-05-24T13:11:00Z</dcterms:created>
  <dc:creator>李扬</dc:creator>
  <cp:lastModifiedBy>Administrator</cp:lastModifiedBy>
  <dcterms:modified xsi:type="dcterms:W3CDTF">2025-05-28T08:30:12Z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96AB5A193F0A461D8B9F1D97C47D8253_13</vt:lpwstr>
  </property>
  <property fmtid="{D5CDD505-2E9C-101B-9397-08002B2CF9AE}" pid="4" name="KSOTemplateDocerSaveRecord">
    <vt:lpwstr>eyJoZGlkIjoiODMwNWNmZTllMTQ2YjMwYjEwNTBhYzVlNTJjODYzNjMiLCJ1c2VySWQiOiI0MzczODk0NzkifQ==</vt:lpwstr>
  </property>
</Properties>
</file>