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A7DC3">
      <w:pPr>
        <w:widowControl/>
        <w:adjustRightInd w:val="0"/>
        <w:snapToGrid w:val="0"/>
        <w:spacing w:line="360" w:lineRule="auto"/>
        <w:jc w:val="left"/>
        <w:rPr>
          <w:rFonts w:hint="eastAsia" w:ascii="宋体" w:hAnsi="宋体" w:eastAsia="宋体" w:cs="宋体"/>
          <w:b/>
          <w:bCs/>
          <w:sz w:val="21"/>
          <w:szCs w:val="21"/>
          <w:highlight w:val="none"/>
          <w:lang w:val="en-US" w:eastAsia="zh-CN"/>
        </w:rPr>
      </w:pPr>
      <w:r>
        <w:rPr>
          <w:rFonts w:hint="eastAsia" w:ascii="宋体" w:hAnsi="宋体" w:eastAsia="宋体" w:cs="宋体"/>
          <w:b/>
          <w:kern w:val="0"/>
          <w:sz w:val="28"/>
          <w:szCs w:val="28"/>
          <w:highlight w:val="none"/>
          <w:lang w:val="en-US" w:eastAsia="zh-CN"/>
        </w:rPr>
        <w:t>包4：</w:t>
      </w:r>
    </w:p>
    <w:tbl>
      <w:tblPr>
        <w:tblStyle w:val="2"/>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6976"/>
        <w:gridCol w:w="1030"/>
      </w:tblGrid>
      <w:tr w14:paraId="2AC5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8" w:type="dxa"/>
            <w:gridSpan w:val="3"/>
            <w:tcBorders>
              <w:top w:val="nil"/>
              <w:left w:val="nil"/>
              <w:right w:val="nil"/>
            </w:tcBorders>
            <w:noWrap w:val="0"/>
            <w:vAlign w:val="center"/>
          </w:tcPr>
          <w:p w14:paraId="2EE4F667">
            <w:pPr>
              <w:widowControl/>
              <w:adjustRightInd w:val="0"/>
              <w:snapToGrid w:val="0"/>
              <w:spacing w:line="360" w:lineRule="auto"/>
              <w:jc w:val="center"/>
              <w:rPr>
                <w:rFonts w:hint="eastAsia" w:ascii="宋体" w:hAnsi="宋体" w:eastAsia="宋体" w:cs="宋体"/>
                <w:b/>
                <w:bCs/>
                <w:kern w:val="0"/>
                <w:sz w:val="21"/>
                <w:szCs w:val="21"/>
                <w:highlight w:val="none"/>
                <w:lang w:val="en-US" w:eastAsia="zh-CN"/>
              </w:rPr>
            </w:pPr>
            <w:bookmarkStart w:id="0" w:name="_GoBack"/>
            <w:r>
              <w:rPr>
                <w:rFonts w:hint="eastAsia" w:ascii="宋体" w:hAnsi="宋体" w:eastAsia="宋体" w:cs="宋体"/>
                <w:b/>
                <w:bCs/>
                <w:kern w:val="0"/>
                <w:sz w:val="21"/>
                <w:szCs w:val="21"/>
                <w:highlight w:val="none"/>
                <w:lang w:val="en-US" w:eastAsia="zh-CN"/>
              </w:rPr>
              <w:t>双靶点磁刺激仪</w:t>
            </w:r>
            <w:bookmarkEnd w:id="0"/>
          </w:p>
        </w:tc>
      </w:tr>
      <w:tr w14:paraId="4F87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2BEDF186">
            <w:pPr>
              <w:widowControl/>
              <w:adjustRightInd w:val="0"/>
              <w:snapToGrid w:val="0"/>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一</w:t>
            </w:r>
          </w:p>
        </w:tc>
        <w:tc>
          <w:tcPr>
            <w:tcW w:w="6976" w:type="dxa"/>
            <w:tcBorders>
              <w:tl2br w:val="nil"/>
              <w:tr2bl w:val="nil"/>
            </w:tcBorders>
            <w:noWrap w:val="0"/>
            <w:vAlign w:val="center"/>
          </w:tcPr>
          <w:p w14:paraId="0002E13F">
            <w:pPr>
              <w:widowControl/>
              <w:adjustRightInd w:val="0"/>
              <w:snapToGrid w:val="0"/>
              <w:spacing w:line="360" w:lineRule="auto"/>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总体要求</w:t>
            </w:r>
          </w:p>
        </w:tc>
        <w:tc>
          <w:tcPr>
            <w:tcW w:w="1030" w:type="dxa"/>
            <w:tcBorders>
              <w:tl2br w:val="nil"/>
              <w:tr2bl w:val="nil"/>
            </w:tcBorders>
            <w:noWrap w:val="0"/>
            <w:vAlign w:val="center"/>
          </w:tcPr>
          <w:p w14:paraId="0F48DDEE">
            <w:pPr>
              <w:widowControl/>
              <w:adjustRightInd w:val="0"/>
              <w:snapToGrid w:val="0"/>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　</w:t>
            </w:r>
          </w:p>
        </w:tc>
      </w:tr>
      <w:tr w14:paraId="30A7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32A2BF92">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6976" w:type="dxa"/>
            <w:tcBorders>
              <w:tl2br w:val="nil"/>
              <w:tr2bl w:val="nil"/>
            </w:tcBorders>
            <w:noWrap w:val="0"/>
            <w:vAlign w:val="center"/>
          </w:tcPr>
          <w:p w14:paraId="679038BF">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满足医院要求，凡涉及设备安装及施工由中标方负责，按照医院要求提供交钥匙工程</w:t>
            </w:r>
          </w:p>
        </w:tc>
        <w:tc>
          <w:tcPr>
            <w:tcW w:w="1030" w:type="dxa"/>
            <w:tcBorders>
              <w:tl2br w:val="nil"/>
              <w:tr2bl w:val="nil"/>
            </w:tcBorders>
            <w:noWrap w:val="0"/>
            <w:vAlign w:val="center"/>
          </w:tcPr>
          <w:p w14:paraId="0CF2F80E">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F60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669693D3">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6976" w:type="dxa"/>
            <w:tcBorders>
              <w:tl2br w:val="nil"/>
              <w:tr2bl w:val="nil"/>
            </w:tcBorders>
            <w:noWrap w:val="0"/>
            <w:vAlign w:val="center"/>
          </w:tcPr>
          <w:p w14:paraId="43EDF612">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投标时要求提供投标产品注册所用检验报告、技术参数表（datasheet）及产品彩页、说明书</w:t>
            </w:r>
          </w:p>
        </w:tc>
        <w:tc>
          <w:tcPr>
            <w:tcW w:w="1030" w:type="dxa"/>
            <w:tcBorders>
              <w:tl2br w:val="nil"/>
              <w:tr2bl w:val="nil"/>
            </w:tcBorders>
            <w:noWrap w:val="0"/>
            <w:vAlign w:val="center"/>
          </w:tcPr>
          <w:p w14:paraId="61B70E4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008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11B1B6E0">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6976" w:type="dxa"/>
            <w:tcBorders>
              <w:tl2br w:val="nil"/>
              <w:tr2bl w:val="nil"/>
            </w:tcBorders>
            <w:noWrap w:val="0"/>
            <w:vAlign w:val="center"/>
          </w:tcPr>
          <w:p w14:paraId="61A61E30">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提供所投产品医疗器械注册证</w:t>
            </w:r>
          </w:p>
        </w:tc>
        <w:tc>
          <w:tcPr>
            <w:tcW w:w="1030" w:type="dxa"/>
            <w:tcBorders>
              <w:tl2br w:val="nil"/>
              <w:tr2bl w:val="nil"/>
            </w:tcBorders>
            <w:noWrap w:val="0"/>
            <w:vAlign w:val="center"/>
          </w:tcPr>
          <w:p w14:paraId="30B27D2F">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9C1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2EE56D85">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6976" w:type="dxa"/>
            <w:tcBorders>
              <w:tl2br w:val="nil"/>
              <w:tr2bl w:val="nil"/>
            </w:tcBorders>
            <w:noWrap w:val="0"/>
            <w:vAlign w:val="center"/>
          </w:tcPr>
          <w:p w14:paraId="696FCB9B">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仪器配备所有软件使用最新版本且终身免费升级，端口免费开放，能与我院各信息系统无缝对接</w:t>
            </w:r>
          </w:p>
        </w:tc>
        <w:tc>
          <w:tcPr>
            <w:tcW w:w="1030" w:type="dxa"/>
            <w:tcBorders>
              <w:tl2br w:val="nil"/>
              <w:tr2bl w:val="nil"/>
            </w:tcBorders>
            <w:noWrap w:val="0"/>
            <w:vAlign w:val="center"/>
          </w:tcPr>
          <w:p w14:paraId="206811CF">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5E7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02734D5D">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6976" w:type="dxa"/>
            <w:tcBorders>
              <w:tl2br w:val="nil"/>
              <w:tr2bl w:val="nil"/>
            </w:tcBorders>
            <w:noWrap w:val="0"/>
            <w:vAlign w:val="center"/>
          </w:tcPr>
          <w:p w14:paraId="600B5DC0">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所有项目必须满足现今主流设备的需求，并能根据实际情况以及用户的要求进行及时做出硬件上的调整并负责做好相应设备的安装</w:t>
            </w:r>
          </w:p>
        </w:tc>
        <w:tc>
          <w:tcPr>
            <w:tcW w:w="1030" w:type="dxa"/>
            <w:tcBorders>
              <w:tl2br w:val="nil"/>
              <w:tr2bl w:val="nil"/>
            </w:tcBorders>
            <w:noWrap w:val="0"/>
            <w:vAlign w:val="center"/>
          </w:tcPr>
          <w:p w14:paraId="25CBF877">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39B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790E0D92">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6976" w:type="dxa"/>
            <w:tcBorders>
              <w:tl2br w:val="nil"/>
              <w:tr2bl w:val="nil"/>
            </w:tcBorders>
            <w:noWrap w:val="0"/>
            <w:vAlign w:val="center"/>
          </w:tcPr>
          <w:p w14:paraId="1368B577">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满足安装场地要求</w:t>
            </w:r>
          </w:p>
        </w:tc>
        <w:tc>
          <w:tcPr>
            <w:tcW w:w="1030" w:type="dxa"/>
            <w:tcBorders>
              <w:tl2br w:val="nil"/>
              <w:tr2bl w:val="nil"/>
            </w:tcBorders>
            <w:noWrap w:val="0"/>
            <w:vAlign w:val="center"/>
          </w:tcPr>
          <w:p w14:paraId="04473CD9">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16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1C2A14F1">
            <w:pPr>
              <w:widowControl/>
              <w:adjustRightInd w:val="0"/>
              <w:snapToGrid w:val="0"/>
              <w:spacing w:line="36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6976" w:type="dxa"/>
            <w:tcBorders>
              <w:bottom w:val="single" w:color="auto" w:sz="4" w:space="0"/>
              <w:tl2br w:val="nil"/>
              <w:tr2bl w:val="nil"/>
            </w:tcBorders>
            <w:noWrap w:val="0"/>
            <w:vAlign w:val="center"/>
          </w:tcPr>
          <w:p w14:paraId="1259E416">
            <w:pPr>
              <w:widowControl/>
              <w:adjustRightInd w:val="0"/>
              <w:snapToGrid w:val="0"/>
              <w:spacing w:line="36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030" w:type="dxa"/>
            <w:tcBorders>
              <w:tl2br w:val="nil"/>
              <w:tr2bl w:val="nil"/>
            </w:tcBorders>
            <w:noWrap w:val="0"/>
            <w:vAlign w:val="center"/>
          </w:tcPr>
          <w:p w14:paraId="4026C81B">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1台</w:t>
            </w:r>
          </w:p>
        </w:tc>
      </w:tr>
      <w:tr w14:paraId="5C81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1E08D9CB">
            <w:pPr>
              <w:widowControl/>
              <w:adjustRightInd w:val="0"/>
              <w:snapToGrid w:val="0"/>
              <w:spacing w:line="360" w:lineRule="auto"/>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二</w:t>
            </w:r>
          </w:p>
        </w:tc>
        <w:tc>
          <w:tcPr>
            <w:tcW w:w="6976" w:type="dxa"/>
            <w:tcBorders>
              <w:tl2br w:val="nil"/>
              <w:tr2bl w:val="nil"/>
            </w:tcBorders>
            <w:noWrap w:val="0"/>
            <w:vAlign w:val="center"/>
          </w:tcPr>
          <w:p w14:paraId="1D0FF9BA">
            <w:pPr>
              <w:widowControl/>
              <w:adjustRightInd w:val="0"/>
              <w:snapToGrid w:val="0"/>
              <w:spacing w:line="360" w:lineRule="auto"/>
              <w:jc w:val="left"/>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技术要求</w:t>
            </w:r>
          </w:p>
        </w:tc>
        <w:tc>
          <w:tcPr>
            <w:tcW w:w="1030" w:type="dxa"/>
            <w:tcBorders>
              <w:tl2br w:val="nil"/>
              <w:tr2bl w:val="nil"/>
            </w:tcBorders>
            <w:noWrap w:val="0"/>
            <w:vAlign w:val="center"/>
          </w:tcPr>
          <w:p w14:paraId="0C575DDE">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14:paraId="3AAA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3C29C606">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1</w:t>
            </w:r>
          </w:p>
        </w:tc>
        <w:tc>
          <w:tcPr>
            <w:tcW w:w="6976" w:type="dxa"/>
            <w:tcBorders>
              <w:tl2br w:val="nil"/>
              <w:tr2bl w:val="nil"/>
            </w:tcBorders>
            <w:noWrap w:val="0"/>
            <w:vAlign w:val="center"/>
          </w:tcPr>
          <w:p w14:paraId="76DC22D9">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用于人体中枢神经和外周神经功能的检测、改善，对脑神经及神经损伤性疾病的辅助治疗</w:t>
            </w:r>
          </w:p>
        </w:tc>
        <w:tc>
          <w:tcPr>
            <w:tcW w:w="1030" w:type="dxa"/>
            <w:tcBorders>
              <w:tl2br w:val="nil"/>
              <w:tr2bl w:val="nil"/>
            </w:tcBorders>
            <w:noWrap w:val="0"/>
            <w:vAlign w:val="center"/>
          </w:tcPr>
          <w:p w14:paraId="4B36204F">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11C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56D5992F">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2</w:t>
            </w:r>
          </w:p>
        </w:tc>
        <w:tc>
          <w:tcPr>
            <w:tcW w:w="6976" w:type="dxa"/>
            <w:tcBorders>
              <w:tl2br w:val="nil"/>
              <w:tr2bl w:val="nil"/>
            </w:tcBorders>
            <w:noWrap w:val="0"/>
            <w:vAlign w:val="center"/>
          </w:tcPr>
          <w:p w14:paraId="100E3A16">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刺激强度</w:t>
            </w:r>
            <w:r>
              <w:rPr>
                <w:rFonts w:hint="eastAsia" w:ascii="宋体" w:hAnsi="宋体" w:eastAsia="宋体" w:cs="宋体"/>
                <w:kern w:val="0"/>
                <w:sz w:val="21"/>
                <w:szCs w:val="21"/>
                <w:highlight w:val="none"/>
                <w:lang w:val="en-US" w:eastAsia="zh-CN"/>
              </w:rPr>
              <w:t>范围≥</w:t>
            </w:r>
            <w:r>
              <w:rPr>
                <w:rFonts w:hint="eastAsia" w:ascii="宋体" w:hAnsi="宋体" w:eastAsia="宋体" w:cs="宋体"/>
                <w:kern w:val="0"/>
                <w:sz w:val="21"/>
                <w:szCs w:val="21"/>
                <w:highlight w:val="none"/>
              </w:rPr>
              <w:t>1.5T～7T</w:t>
            </w:r>
          </w:p>
        </w:tc>
        <w:tc>
          <w:tcPr>
            <w:tcW w:w="1030" w:type="dxa"/>
            <w:tcBorders>
              <w:tl2br w:val="nil"/>
              <w:tr2bl w:val="nil"/>
            </w:tcBorders>
            <w:noWrap w:val="0"/>
            <w:vAlign w:val="center"/>
          </w:tcPr>
          <w:p w14:paraId="029A70E2">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53C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6B76E40F">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3</w:t>
            </w:r>
          </w:p>
        </w:tc>
        <w:tc>
          <w:tcPr>
            <w:tcW w:w="6976" w:type="dxa"/>
            <w:tcBorders>
              <w:tl2br w:val="nil"/>
              <w:tr2bl w:val="nil"/>
            </w:tcBorders>
            <w:noWrap w:val="0"/>
            <w:vAlign w:val="center"/>
          </w:tcPr>
          <w:p w14:paraId="2B506435">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输出频率</w:t>
            </w:r>
            <w:r>
              <w:rPr>
                <w:rFonts w:hint="eastAsia" w:ascii="宋体" w:hAnsi="宋体" w:eastAsia="宋体" w:cs="宋体"/>
                <w:kern w:val="0"/>
                <w:sz w:val="21"/>
                <w:szCs w:val="21"/>
                <w:highlight w:val="none"/>
                <w:lang w:val="en-US" w:eastAsia="zh-CN"/>
              </w:rPr>
              <w:t>范围≥</w:t>
            </w:r>
            <w:r>
              <w:rPr>
                <w:rFonts w:hint="eastAsia" w:ascii="宋体" w:hAnsi="宋体" w:eastAsia="宋体" w:cs="宋体"/>
                <w:kern w:val="0"/>
                <w:sz w:val="21"/>
                <w:szCs w:val="21"/>
                <w:highlight w:val="none"/>
              </w:rPr>
              <w:t>0.1Hz～80Hz</w:t>
            </w:r>
          </w:p>
        </w:tc>
        <w:tc>
          <w:tcPr>
            <w:tcW w:w="1030" w:type="dxa"/>
            <w:tcBorders>
              <w:tl2br w:val="nil"/>
              <w:tr2bl w:val="nil"/>
            </w:tcBorders>
            <w:noWrap w:val="0"/>
            <w:vAlign w:val="center"/>
          </w:tcPr>
          <w:p w14:paraId="3A2C41D9">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6BA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52E9739A">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4</w:t>
            </w:r>
          </w:p>
        </w:tc>
        <w:tc>
          <w:tcPr>
            <w:tcW w:w="6976" w:type="dxa"/>
            <w:tcBorders>
              <w:tl2br w:val="nil"/>
              <w:tr2bl w:val="nil"/>
            </w:tcBorders>
            <w:noWrap w:val="0"/>
            <w:vAlign w:val="center"/>
          </w:tcPr>
          <w:p w14:paraId="411686A0">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输出步长：输出脉冲频率在1Hz以下时，脉冲频率步长</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0.1Hz，超过1Hz时步长</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1Hz</w:t>
            </w:r>
          </w:p>
        </w:tc>
        <w:tc>
          <w:tcPr>
            <w:tcW w:w="1030" w:type="dxa"/>
            <w:tcBorders>
              <w:tl2br w:val="nil"/>
              <w:tr2bl w:val="nil"/>
            </w:tcBorders>
            <w:noWrap w:val="0"/>
            <w:vAlign w:val="center"/>
          </w:tcPr>
          <w:p w14:paraId="6AE75D7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B68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3679F7C9">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5</w:t>
            </w:r>
          </w:p>
        </w:tc>
        <w:tc>
          <w:tcPr>
            <w:tcW w:w="6976" w:type="dxa"/>
            <w:tcBorders>
              <w:tl2br w:val="nil"/>
              <w:tr2bl w:val="nil"/>
            </w:tcBorders>
            <w:noWrap w:val="0"/>
            <w:vAlign w:val="center"/>
          </w:tcPr>
          <w:p w14:paraId="2B1E613B">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脉冲宽度</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330us</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410us</w:t>
            </w:r>
          </w:p>
        </w:tc>
        <w:tc>
          <w:tcPr>
            <w:tcW w:w="1030" w:type="dxa"/>
            <w:tcBorders>
              <w:tl2br w:val="nil"/>
              <w:tr2bl w:val="nil"/>
            </w:tcBorders>
            <w:noWrap w:val="0"/>
            <w:vAlign w:val="center"/>
          </w:tcPr>
          <w:p w14:paraId="41A69225">
            <w:pPr>
              <w:widowControl/>
              <w:adjustRightInd w:val="0"/>
              <w:snapToGrid w:val="0"/>
              <w:spacing w:line="360" w:lineRule="auto"/>
              <w:jc w:val="center"/>
              <w:rPr>
                <w:rFonts w:hint="eastAsia" w:ascii="宋体" w:hAnsi="宋体" w:eastAsia="宋体" w:cs="宋体"/>
                <w:kern w:val="0"/>
                <w:sz w:val="21"/>
                <w:szCs w:val="21"/>
                <w:highlight w:val="none"/>
              </w:rPr>
            </w:pPr>
          </w:p>
        </w:tc>
      </w:tr>
      <w:tr w14:paraId="591B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55AA273F">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6</w:t>
            </w:r>
          </w:p>
        </w:tc>
        <w:tc>
          <w:tcPr>
            <w:tcW w:w="6976" w:type="dxa"/>
            <w:tcBorders>
              <w:tl2br w:val="nil"/>
              <w:tr2bl w:val="nil"/>
            </w:tcBorders>
            <w:noWrap w:val="0"/>
            <w:vAlign w:val="center"/>
          </w:tcPr>
          <w:p w14:paraId="4190CA8F">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刺激模式：单脉冲刺激模式、重复刺激模式、序列刺激模式、TBS刺激模式、外部触发模式，单拍成对刺激模式，可自由切换</w:t>
            </w:r>
          </w:p>
        </w:tc>
        <w:tc>
          <w:tcPr>
            <w:tcW w:w="1030" w:type="dxa"/>
            <w:tcBorders>
              <w:tl2br w:val="nil"/>
              <w:tr2bl w:val="nil"/>
            </w:tcBorders>
            <w:noWrap w:val="0"/>
            <w:vAlign w:val="center"/>
          </w:tcPr>
          <w:p w14:paraId="6A123268">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2C8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3E4A65F4">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7</w:t>
            </w:r>
          </w:p>
        </w:tc>
        <w:tc>
          <w:tcPr>
            <w:tcW w:w="6976" w:type="dxa"/>
            <w:tcBorders>
              <w:tl2br w:val="nil"/>
              <w:tr2bl w:val="nil"/>
            </w:tcBorders>
            <w:noWrap w:val="0"/>
            <w:vAlign w:val="center"/>
          </w:tcPr>
          <w:p w14:paraId="0E2210C2">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双硬盘安装双系统</w:t>
            </w:r>
          </w:p>
        </w:tc>
        <w:tc>
          <w:tcPr>
            <w:tcW w:w="1030" w:type="dxa"/>
            <w:tcBorders>
              <w:tl2br w:val="nil"/>
              <w:tr2bl w:val="nil"/>
            </w:tcBorders>
            <w:noWrap w:val="0"/>
            <w:vAlign w:val="center"/>
          </w:tcPr>
          <w:p w14:paraId="06A5C9FA">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4C1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5FD19D93">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8</w:t>
            </w:r>
          </w:p>
        </w:tc>
        <w:tc>
          <w:tcPr>
            <w:tcW w:w="6976" w:type="dxa"/>
            <w:tcBorders>
              <w:tl2br w:val="nil"/>
              <w:tr2bl w:val="nil"/>
            </w:tcBorders>
            <w:noWrap w:val="0"/>
            <w:vAlign w:val="center"/>
          </w:tcPr>
          <w:p w14:paraId="3D615EC2">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具备脚踏开关</w:t>
            </w:r>
          </w:p>
        </w:tc>
        <w:tc>
          <w:tcPr>
            <w:tcW w:w="1030" w:type="dxa"/>
            <w:tcBorders>
              <w:tl2br w:val="nil"/>
              <w:tr2bl w:val="nil"/>
            </w:tcBorders>
            <w:noWrap w:val="0"/>
            <w:vAlign w:val="center"/>
          </w:tcPr>
          <w:p w14:paraId="42FA2219">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60B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22F30344">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w:t>
            </w:r>
          </w:p>
        </w:tc>
        <w:tc>
          <w:tcPr>
            <w:tcW w:w="6976" w:type="dxa"/>
            <w:tcBorders>
              <w:tl2br w:val="nil"/>
              <w:tr2bl w:val="nil"/>
            </w:tcBorders>
            <w:noWrap w:val="0"/>
            <w:vAlign w:val="center"/>
          </w:tcPr>
          <w:p w14:paraId="2F8034FC">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圆环线圈、平面8字型线圈均具备双面刺激</w:t>
            </w:r>
          </w:p>
        </w:tc>
        <w:tc>
          <w:tcPr>
            <w:tcW w:w="1030" w:type="dxa"/>
            <w:tcBorders>
              <w:tl2br w:val="nil"/>
              <w:tr2bl w:val="nil"/>
            </w:tcBorders>
            <w:noWrap w:val="0"/>
            <w:vAlign w:val="center"/>
          </w:tcPr>
          <w:p w14:paraId="015FE52E">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E7D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0DC69D3E">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w:t>
            </w:r>
          </w:p>
        </w:tc>
        <w:tc>
          <w:tcPr>
            <w:tcW w:w="6976" w:type="dxa"/>
            <w:tcBorders>
              <w:tl2br w:val="nil"/>
              <w:tr2bl w:val="nil"/>
            </w:tcBorders>
            <w:noWrap w:val="0"/>
            <w:vAlign w:val="center"/>
          </w:tcPr>
          <w:p w14:paraId="69DAEB9C">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主机配置有</w:t>
            </w:r>
            <w:r>
              <w:rPr>
                <w:rFonts w:hint="eastAsia" w:ascii="宋体" w:hAnsi="宋体" w:eastAsia="宋体" w:cs="宋体"/>
                <w:kern w:val="0"/>
                <w:sz w:val="21"/>
                <w:szCs w:val="21"/>
                <w:highlight w:val="none"/>
              </w:rPr>
              <w:t>显示屏，显示屏可直观显示刺激强度、线圈温度、线圈连接状态、通信连接状态及液冷机运行状态，设备操作界面非一体式工作站或笔记本电脑</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（需提供设备实物照片证明）</w:t>
            </w:r>
          </w:p>
        </w:tc>
        <w:tc>
          <w:tcPr>
            <w:tcW w:w="1030" w:type="dxa"/>
            <w:tcBorders>
              <w:tl2br w:val="nil"/>
              <w:tr2bl w:val="nil"/>
            </w:tcBorders>
            <w:noWrap w:val="0"/>
            <w:vAlign w:val="center"/>
          </w:tcPr>
          <w:p w14:paraId="756FDC99">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D92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4BEB0427">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11</w:t>
            </w:r>
          </w:p>
        </w:tc>
        <w:tc>
          <w:tcPr>
            <w:tcW w:w="6976" w:type="dxa"/>
            <w:tcBorders>
              <w:tl2br w:val="nil"/>
              <w:tr2bl w:val="nil"/>
            </w:tcBorders>
            <w:noWrap w:val="0"/>
            <w:vAlign w:val="center"/>
          </w:tcPr>
          <w:p w14:paraId="69715E97">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同一台机器，既可实现双拍毫秒级同步刺激，也可实现单拍毫秒级同步</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满足特殊患者脑网络多个关键节点关联刺激的要求</w:t>
            </w:r>
          </w:p>
        </w:tc>
        <w:tc>
          <w:tcPr>
            <w:tcW w:w="1030" w:type="dxa"/>
            <w:tcBorders>
              <w:tl2br w:val="nil"/>
              <w:tr2bl w:val="nil"/>
            </w:tcBorders>
            <w:noWrap w:val="0"/>
            <w:vAlign w:val="center"/>
          </w:tcPr>
          <w:p w14:paraId="66E329CC">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328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64AE3C33">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w:t>
            </w:r>
          </w:p>
        </w:tc>
        <w:tc>
          <w:tcPr>
            <w:tcW w:w="6976" w:type="dxa"/>
            <w:tcBorders>
              <w:tl2br w:val="nil"/>
              <w:tr2bl w:val="nil"/>
            </w:tcBorders>
            <w:noWrap w:val="0"/>
            <w:vAlign w:val="center"/>
          </w:tcPr>
          <w:p w14:paraId="1D085289">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具有双路独立的温控液冷功能，非两台液冷机拼凑式降温</w:t>
            </w:r>
          </w:p>
        </w:tc>
        <w:tc>
          <w:tcPr>
            <w:tcW w:w="1030" w:type="dxa"/>
            <w:tcBorders>
              <w:tl2br w:val="nil"/>
              <w:tr2bl w:val="nil"/>
            </w:tcBorders>
            <w:noWrap w:val="0"/>
            <w:vAlign w:val="center"/>
          </w:tcPr>
          <w:p w14:paraId="32DA51B4">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F4E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4A823A24">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13</w:t>
            </w:r>
          </w:p>
        </w:tc>
        <w:tc>
          <w:tcPr>
            <w:tcW w:w="6976" w:type="dxa"/>
            <w:tcBorders>
              <w:tl2br w:val="nil"/>
              <w:tr2bl w:val="nil"/>
            </w:tcBorders>
            <w:noWrap w:val="0"/>
            <w:vAlign w:val="center"/>
          </w:tcPr>
          <w:p w14:paraId="7FC3F448">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磁刺激仪主机，副机，液冷机，独立分开，磁刺激仪主机可单独</w:t>
            </w:r>
            <w:r>
              <w:rPr>
                <w:rFonts w:hint="eastAsia" w:ascii="宋体" w:hAnsi="宋体" w:eastAsia="宋体" w:cs="宋体"/>
                <w:kern w:val="0"/>
                <w:sz w:val="21"/>
                <w:szCs w:val="21"/>
                <w:highlight w:val="none"/>
                <w:lang w:val="en-US" w:eastAsia="zh-CN"/>
              </w:rPr>
              <w:t>拆卸，</w:t>
            </w:r>
            <w:r>
              <w:rPr>
                <w:rFonts w:hint="eastAsia" w:ascii="宋体" w:hAnsi="宋体" w:eastAsia="宋体" w:cs="宋体"/>
                <w:kern w:val="0"/>
                <w:sz w:val="21"/>
                <w:szCs w:val="21"/>
                <w:highlight w:val="none"/>
              </w:rPr>
              <w:t>与肌电图设备连接进行运动诱发电位检测</w:t>
            </w:r>
          </w:p>
        </w:tc>
        <w:tc>
          <w:tcPr>
            <w:tcW w:w="1030" w:type="dxa"/>
            <w:tcBorders>
              <w:tl2br w:val="nil"/>
              <w:tr2bl w:val="nil"/>
            </w:tcBorders>
            <w:noWrap w:val="0"/>
            <w:vAlign w:val="center"/>
          </w:tcPr>
          <w:p w14:paraId="414C7F23">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4A5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3F0F275F">
            <w:pPr>
              <w:widowControl/>
              <w:adjustRightInd w:val="0"/>
              <w:snapToGrid w:val="0"/>
              <w:spacing w:line="36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1</w:t>
            </w:r>
            <w:r>
              <w:rPr>
                <w:rFonts w:hint="eastAsia" w:ascii="宋体" w:hAnsi="宋体" w:eastAsia="宋体" w:cs="宋体"/>
                <w:kern w:val="0"/>
                <w:sz w:val="21"/>
                <w:szCs w:val="21"/>
                <w:highlight w:val="none"/>
                <w:lang w:val="en-US" w:eastAsia="zh-CN"/>
              </w:rPr>
              <w:t>4</w:t>
            </w:r>
          </w:p>
        </w:tc>
        <w:tc>
          <w:tcPr>
            <w:tcW w:w="6976" w:type="dxa"/>
            <w:tcBorders>
              <w:tl2br w:val="nil"/>
              <w:tr2bl w:val="nil"/>
            </w:tcBorders>
            <w:noWrap w:val="0"/>
            <w:vAlign w:val="center"/>
          </w:tcPr>
          <w:p w14:paraId="32B5D08B">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具备</w:t>
            </w:r>
            <w:r>
              <w:rPr>
                <w:rFonts w:hint="eastAsia" w:ascii="宋体" w:hAnsi="宋体" w:eastAsia="宋体" w:cs="宋体"/>
                <w:kern w:val="0"/>
                <w:sz w:val="21"/>
                <w:szCs w:val="21"/>
                <w:highlight w:val="none"/>
              </w:rPr>
              <w:t>靶点位置3D显示功能，提示大脑皮层靶点刺激区及头部治疗区的准确位置</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设备软件具备治疗处方≥195种</w:t>
            </w:r>
          </w:p>
        </w:tc>
        <w:tc>
          <w:tcPr>
            <w:tcW w:w="1030" w:type="dxa"/>
            <w:tcBorders>
              <w:tl2br w:val="nil"/>
              <w:tr2bl w:val="nil"/>
            </w:tcBorders>
            <w:noWrap w:val="0"/>
            <w:vAlign w:val="center"/>
          </w:tcPr>
          <w:p w14:paraId="21C1AF55">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7F4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69E3F5F4">
            <w:pPr>
              <w:widowControl/>
              <w:adjustRightInd w:val="0"/>
              <w:snapToGrid w:val="0"/>
              <w:spacing w:line="36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1</w:t>
            </w:r>
            <w:r>
              <w:rPr>
                <w:rFonts w:hint="eastAsia" w:ascii="宋体" w:hAnsi="宋体" w:eastAsia="宋体" w:cs="宋体"/>
                <w:kern w:val="0"/>
                <w:sz w:val="21"/>
                <w:szCs w:val="21"/>
                <w:highlight w:val="none"/>
                <w:lang w:val="en-US" w:eastAsia="zh-CN"/>
              </w:rPr>
              <w:t>5</w:t>
            </w:r>
          </w:p>
        </w:tc>
        <w:tc>
          <w:tcPr>
            <w:tcW w:w="6976" w:type="dxa"/>
            <w:tcBorders>
              <w:tl2br w:val="nil"/>
              <w:tr2bl w:val="nil"/>
            </w:tcBorders>
            <w:noWrap w:val="0"/>
            <w:vAlign w:val="center"/>
          </w:tcPr>
          <w:p w14:paraId="71C9436A">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支持双通道独立输出，允许两个治疗线圈分别设置不同的刺激处方与强度，并可同时对两名患者进行独立治疗。各通道的治疗可独立启停，互不干扰</w:t>
            </w:r>
          </w:p>
        </w:tc>
        <w:tc>
          <w:tcPr>
            <w:tcW w:w="1030" w:type="dxa"/>
            <w:tcBorders>
              <w:tl2br w:val="nil"/>
              <w:tr2bl w:val="nil"/>
            </w:tcBorders>
            <w:noWrap w:val="0"/>
            <w:vAlign w:val="center"/>
          </w:tcPr>
          <w:p w14:paraId="1D924FE9">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71B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0BE62153">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16</w:t>
            </w:r>
          </w:p>
        </w:tc>
        <w:tc>
          <w:tcPr>
            <w:tcW w:w="6976" w:type="dxa"/>
            <w:tcBorders>
              <w:tl2br w:val="nil"/>
              <w:tr2bl w:val="nil"/>
            </w:tcBorders>
            <w:noWrap w:val="0"/>
            <w:vAlign w:val="center"/>
          </w:tcPr>
          <w:p w14:paraId="07058837">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磁刺激仪台车具备线圈支臂固定位置</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4个，可自由切换，满足不同治疗模式</w:t>
            </w:r>
          </w:p>
        </w:tc>
        <w:tc>
          <w:tcPr>
            <w:tcW w:w="1030" w:type="dxa"/>
            <w:tcBorders>
              <w:tl2br w:val="nil"/>
              <w:tr2bl w:val="nil"/>
            </w:tcBorders>
            <w:noWrap w:val="0"/>
            <w:vAlign w:val="center"/>
          </w:tcPr>
          <w:p w14:paraId="3B3ED46B">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247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3CCEECB0">
            <w:pPr>
              <w:widowControl/>
              <w:adjustRightInd w:val="0"/>
              <w:snapToGrid w:val="0"/>
              <w:spacing w:line="36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1</w:t>
            </w:r>
            <w:r>
              <w:rPr>
                <w:rFonts w:hint="eastAsia" w:ascii="宋体" w:hAnsi="宋体" w:eastAsia="宋体" w:cs="宋体"/>
                <w:kern w:val="0"/>
                <w:sz w:val="21"/>
                <w:szCs w:val="21"/>
                <w:highlight w:val="none"/>
                <w:lang w:val="en-US" w:eastAsia="zh-CN"/>
              </w:rPr>
              <w:t>7</w:t>
            </w:r>
          </w:p>
        </w:tc>
        <w:tc>
          <w:tcPr>
            <w:tcW w:w="6976" w:type="dxa"/>
            <w:tcBorders>
              <w:tl2br w:val="nil"/>
              <w:tr2bl w:val="nil"/>
            </w:tcBorders>
            <w:noWrap w:val="0"/>
            <w:vAlign w:val="center"/>
          </w:tcPr>
          <w:p w14:paraId="123A6E04">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具有电容放电计数功能，兼容多种设备的触发接口，满足临床和科研使用</w:t>
            </w:r>
          </w:p>
        </w:tc>
        <w:tc>
          <w:tcPr>
            <w:tcW w:w="1030" w:type="dxa"/>
            <w:tcBorders>
              <w:tl2br w:val="nil"/>
              <w:tr2bl w:val="nil"/>
            </w:tcBorders>
            <w:noWrap w:val="0"/>
            <w:vAlign w:val="center"/>
          </w:tcPr>
          <w:p w14:paraId="7598425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73E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553CD245">
            <w:pPr>
              <w:widowControl/>
              <w:adjustRightInd w:val="0"/>
              <w:snapToGrid w:val="0"/>
              <w:spacing w:line="36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1</w:t>
            </w:r>
            <w:r>
              <w:rPr>
                <w:rFonts w:hint="eastAsia" w:ascii="宋体" w:hAnsi="宋体" w:eastAsia="宋体" w:cs="宋体"/>
                <w:kern w:val="0"/>
                <w:sz w:val="21"/>
                <w:szCs w:val="21"/>
                <w:highlight w:val="none"/>
                <w:lang w:val="en-US" w:eastAsia="zh-CN"/>
              </w:rPr>
              <w:t>8</w:t>
            </w:r>
          </w:p>
        </w:tc>
        <w:tc>
          <w:tcPr>
            <w:tcW w:w="6976" w:type="dxa"/>
            <w:tcBorders>
              <w:tl2br w:val="nil"/>
              <w:tr2bl w:val="nil"/>
            </w:tcBorders>
            <w:noWrap w:val="0"/>
            <w:vAlign w:val="center"/>
          </w:tcPr>
          <w:p w14:paraId="72CA08B1">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磁感应最大变化率：30-130KT/s</w:t>
            </w:r>
          </w:p>
        </w:tc>
        <w:tc>
          <w:tcPr>
            <w:tcW w:w="1030" w:type="dxa"/>
            <w:tcBorders>
              <w:tl2br w:val="nil"/>
              <w:tr2bl w:val="nil"/>
            </w:tcBorders>
            <w:noWrap w:val="0"/>
            <w:vAlign w:val="center"/>
          </w:tcPr>
          <w:p w14:paraId="4F361244">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B82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04004A44">
            <w:pPr>
              <w:widowControl/>
              <w:adjustRightInd w:val="0"/>
              <w:snapToGrid w:val="0"/>
              <w:spacing w:line="36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1</w:t>
            </w:r>
            <w:r>
              <w:rPr>
                <w:rFonts w:hint="eastAsia" w:ascii="宋体" w:hAnsi="宋体" w:eastAsia="宋体" w:cs="宋体"/>
                <w:kern w:val="0"/>
                <w:sz w:val="21"/>
                <w:szCs w:val="21"/>
                <w:highlight w:val="none"/>
                <w:lang w:val="en-US" w:eastAsia="zh-CN"/>
              </w:rPr>
              <w:t>9</w:t>
            </w:r>
          </w:p>
        </w:tc>
        <w:tc>
          <w:tcPr>
            <w:tcW w:w="6976" w:type="dxa"/>
            <w:tcBorders>
              <w:tl2br w:val="nil"/>
              <w:tr2bl w:val="nil"/>
            </w:tcBorders>
            <w:noWrap w:val="0"/>
            <w:vAlign w:val="center"/>
          </w:tcPr>
          <w:p w14:paraId="7DA5B76B">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保护装置：线圈应有独立的保护装置，当线圈发生故障时，停止磁场输出并有提示</w:t>
            </w:r>
          </w:p>
        </w:tc>
        <w:tc>
          <w:tcPr>
            <w:tcW w:w="1030" w:type="dxa"/>
            <w:tcBorders>
              <w:tl2br w:val="nil"/>
              <w:tr2bl w:val="nil"/>
            </w:tcBorders>
            <w:noWrap w:val="0"/>
            <w:vAlign w:val="center"/>
          </w:tcPr>
          <w:p w14:paraId="5D4D99F8">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EFE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103FF70B">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#20</w:t>
            </w:r>
          </w:p>
        </w:tc>
        <w:tc>
          <w:tcPr>
            <w:tcW w:w="6976" w:type="dxa"/>
            <w:tcBorders>
              <w:tl2br w:val="nil"/>
              <w:tr2bl w:val="nil"/>
            </w:tcBorders>
            <w:noWrap w:val="0"/>
            <w:vAlign w:val="center"/>
          </w:tcPr>
          <w:p w14:paraId="1D35E9D8">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单拍同步刺激时间间隔</w:t>
            </w:r>
            <w:r>
              <w:rPr>
                <w:rFonts w:hint="eastAsia" w:ascii="宋体" w:hAnsi="宋体" w:eastAsia="宋体" w:cs="宋体"/>
                <w:kern w:val="0"/>
                <w:sz w:val="21"/>
                <w:szCs w:val="21"/>
                <w:highlight w:val="none"/>
                <w:lang w:val="en-US"/>
              </w:rPr>
              <w:t>：</w:t>
            </w:r>
            <w:r>
              <w:rPr>
                <w:rFonts w:hint="eastAsia" w:ascii="宋体" w:hAnsi="宋体" w:eastAsia="宋体" w:cs="宋体"/>
                <w:kern w:val="0"/>
                <w:sz w:val="21"/>
                <w:szCs w:val="21"/>
                <w:highlight w:val="none"/>
              </w:rPr>
              <w:t>10ms～220ms（单脉冲刺激），允差</w:t>
            </w:r>
            <w:r>
              <w:rPr>
                <w:rFonts w:hint="eastAsia" w:ascii="宋体" w:hAnsi="宋体" w:eastAsia="宋体" w:cs="宋体"/>
                <w:kern w:val="0"/>
                <w:sz w:val="21"/>
                <w:szCs w:val="21"/>
                <w:highlight w:val="none"/>
                <w:lang w:val="en-US"/>
              </w:rPr>
              <w:t>：</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±1ms。可实施单拍毫秒级同步刺激。</w:t>
            </w:r>
          </w:p>
          <w:p w14:paraId="5DBADCDC">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A-B 同步刺激时间间隔：0～50000ms（单脉冲刺激），0～5000ms，允差</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±1ms</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5001ms～50000ms，允差</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±1s；0～220ms（重复刺激），允差</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±1ms。可实施双拍毫秒级同步刺激</w:t>
            </w:r>
          </w:p>
        </w:tc>
        <w:tc>
          <w:tcPr>
            <w:tcW w:w="1030" w:type="dxa"/>
            <w:tcBorders>
              <w:tl2br w:val="nil"/>
              <w:tr2bl w:val="nil"/>
            </w:tcBorders>
            <w:noWrap w:val="0"/>
            <w:vAlign w:val="center"/>
          </w:tcPr>
          <w:p w14:paraId="530A0413">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415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474B9658">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21</w:t>
            </w:r>
          </w:p>
        </w:tc>
        <w:tc>
          <w:tcPr>
            <w:tcW w:w="6976" w:type="dxa"/>
            <w:tcBorders>
              <w:tl2br w:val="nil"/>
              <w:tr2bl w:val="nil"/>
            </w:tcBorders>
            <w:noWrap w:val="0"/>
            <w:vAlign w:val="center"/>
          </w:tcPr>
          <w:p w14:paraId="33AF3076">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阈值测定触发方式</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软件点击触发、线圈控制按键触发、脚踏板触发</w:t>
            </w:r>
            <w:r>
              <w:rPr>
                <w:rFonts w:hint="eastAsia" w:ascii="宋体" w:hAnsi="宋体" w:eastAsia="宋体" w:cs="宋体"/>
                <w:kern w:val="0"/>
                <w:sz w:val="21"/>
                <w:szCs w:val="21"/>
                <w:highlight w:val="none"/>
                <w:lang w:val="en-US" w:eastAsia="zh-CN"/>
              </w:rPr>
              <w:t>等</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其中</w:t>
            </w:r>
            <w:r>
              <w:rPr>
                <w:rFonts w:hint="eastAsia" w:ascii="宋体" w:hAnsi="宋体" w:eastAsia="宋体" w:cs="宋体"/>
                <w:kern w:val="0"/>
                <w:sz w:val="21"/>
                <w:szCs w:val="21"/>
                <w:highlight w:val="none"/>
              </w:rPr>
              <w:t>线圈控制按键触发可实现单手快速触发刺激，脚踏板触发可实现单脚快速触发刺激，满足不同临床需求</w:t>
            </w:r>
          </w:p>
        </w:tc>
        <w:tc>
          <w:tcPr>
            <w:tcW w:w="1030" w:type="dxa"/>
            <w:tcBorders>
              <w:tl2br w:val="nil"/>
              <w:tr2bl w:val="nil"/>
            </w:tcBorders>
            <w:noWrap w:val="0"/>
            <w:vAlign w:val="center"/>
          </w:tcPr>
          <w:p w14:paraId="208E2AA7">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599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1CB5BD77">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22</w:t>
            </w:r>
          </w:p>
        </w:tc>
        <w:tc>
          <w:tcPr>
            <w:tcW w:w="6976" w:type="dxa"/>
            <w:tcBorders>
              <w:tl2br w:val="nil"/>
              <w:tr2bl w:val="nil"/>
            </w:tcBorders>
            <w:noWrap w:val="0"/>
            <w:vAlign w:val="center"/>
          </w:tcPr>
          <w:p w14:paraId="2A22C9ED">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可拓展工作站操作系统，实现多台设备互联互通及数据统一存储</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支持接入医院HIS、PACS、LIS等管理系统</w:t>
            </w:r>
          </w:p>
        </w:tc>
        <w:tc>
          <w:tcPr>
            <w:tcW w:w="1030" w:type="dxa"/>
            <w:tcBorders>
              <w:tl2br w:val="nil"/>
              <w:tr2bl w:val="nil"/>
            </w:tcBorders>
            <w:noWrap w:val="0"/>
            <w:vAlign w:val="center"/>
          </w:tcPr>
          <w:p w14:paraId="4B41D96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8C1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1EDFB5DB">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23</w:t>
            </w:r>
          </w:p>
        </w:tc>
        <w:tc>
          <w:tcPr>
            <w:tcW w:w="6976" w:type="dxa"/>
            <w:tcBorders>
              <w:tl2br w:val="nil"/>
              <w:tr2bl w:val="nil"/>
            </w:tcBorders>
            <w:noWrap w:val="0"/>
            <w:vAlign w:val="center"/>
          </w:tcPr>
          <w:p w14:paraId="33FDE08E">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具备自动计算神经传导时间功能</w:t>
            </w:r>
          </w:p>
        </w:tc>
        <w:tc>
          <w:tcPr>
            <w:tcW w:w="1030" w:type="dxa"/>
            <w:tcBorders>
              <w:tl2br w:val="nil"/>
              <w:tr2bl w:val="nil"/>
            </w:tcBorders>
            <w:noWrap w:val="0"/>
            <w:vAlign w:val="center"/>
          </w:tcPr>
          <w:p w14:paraId="1935B25D">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E4B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7877D272">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24</w:t>
            </w:r>
          </w:p>
        </w:tc>
        <w:tc>
          <w:tcPr>
            <w:tcW w:w="6976" w:type="dxa"/>
            <w:tcBorders>
              <w:tl2br w:val="nil"/>
              <w:tr2bl w:val="nil"/>
            </w:tcBorders>
            <w:noWrap w:val="0"/>
            <w:vAlign w:val="center"/>
          </w:tcPr>
          <w:p w14:paraId="3BCCA31F">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频率测量范围</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1-600Hz</w:t>
            </w:r>
          </w:p>
        </w:tc>
        <w:tc>
          <w:tcPr>
            <w:tcW w:w="1030" w:type="dxa"/>
            <w:tcBorders>
              <w:tl2br w:val="nil"/>
              <w:tr2bl w:val="nil"/>
            </w:tcBorders>
            <w:noWrap w:val="0"/>
            <w:vAlign w:val="center"/>
          </w:tcPr>
          <w:p w14:paraId="5348AD58">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7F8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3834DBAE">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25</w:t>
            </w:r>
          </w:p>
        </w:tc>
        <w:tc>
          <w:tcPr>
            <w:tcW w:w="6976" w:type="dxa"/>
            <w:tcBorders>
              <w:tl2br w:val="nil"/>
              <w:tr2bl w:val="nil"/>
            </w:tcBorders>
            <w:noWrap w:val="0"/>
            <w:vAlign w:val="center"/>
          </w:tcPr>
          <w:p w14:paraId="054D082C">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显示范围</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1uV～100mV</w:t>
            </w:r>
          </w:p>
        </w:tc>
        <w:tc>
          <w:tcPr>
            <w:tcW w:w="1030" w:type="dxa"/>
            <w:tcBorders>
              <w:tl2br w:val="nil"/>
              <w:tr2bl w:val="nil"/>
            </w:tcBorders>
            <w:noWrap w:val="0"/>
            <w:vAlign w:val="center"/>
          </w:tcPr>
          <w:p w14:paraId="71E6B44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EB3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10B5B889">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26</w:t>
            </w:r>
          </w:p>
        </w:tc>
        <w:tc>
          <w:tcPr>
            <w:tcW w:w="6976" w:type="dxa"/>
            <w:tcBorders>
              <w:tl2br w:val="nil"/>
              <w:tr2bl w:val="nil"/>
            </w:tcBorders>
            <w:noWrap w:val="0"/>
            <w:vAlign w:val="center"/>
          </w:tcPr>
          <w:p w14:paraId="4E7D1F46">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系统噪声≤1μV</w:t>
            </w:r>
          </w:p>
        </w:tc>
        <w:tc>
          <w:tcPr>
            <w:tcW w:w="1030" w:type="dxa"/>
            <w:tcBorders>
              <w:tl2br w:val="nil"/>
              <w:tr2bl w:val="nil"/>
            </w:tcBorders>
            <w:noWrap w:val="0"/>
            <w:vAlign w:val="center"/>
          </w:tcPr>
          <w:p w14:paraId="1FD7228A">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473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1E2A965F">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27</w:t>
            </w:r>
          </w:p>
        </w:tc>
        <w:tc>
          <w:tcPr>
            <w:tcW w:w="6976" w:type="dxa"/>
            <w:tcBorders>
              <w:tl2br w:val="nil"/>
              <w:tr2bl w:val="nil"/>
            </w:tcBorders>
            <w:noWrap w:val="0"/>
            <w:vAlign w:val="center"/>
          </w:tcPr>
          <w:p w14:paraId="1337FE99">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差模输入阻抗＞5MΩ</w:t>
            </w:r>
          </w:p>
        </w:tc>
        <w:tc>
          <w:tcPr>
            <w:tcW w:w="1030" w:type="dxa"/>
            <w:tcBorders>
              <w:tl2br w:val="nil"/>
              <w:tr2bl w:val="nil"/>
            </w:tcBorders>
            <w:noWrap w:val="0"/>
            <w:vAlign w:val="center"/>
          </w:tcPr>
          <w:p w14:paraId="7765AC94">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BD2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591C2D46">
            <w:pPr>
              <w:widowControl/>
              <w:adjustRightInd w:val="0"/>
              <w:snapToGrid w:val="0"/>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28</w:t>
            </w:r>
          </w:p>
        </w:tc>
        <w:tc>
          <w:tcPr>
            <w:tcW w:w="6976" w:type="dxa"/>
            <w:tcBorders>
              <w:tl2br w:val="nil"/>
              <w:tr2bl w:val="nil"/>
            </w:tcBorders>
            <w:noWrap w:val="0"/>
            <w:vAlign w:val="center"/>
          </w:tcPr>
          <w:p w14:paraId="77E19171">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共模抑制比＞100dB</w:t>
            </w:r>
          </w:p>
        </w:tc>
        <w:tc>
          <w:tcPr>
            <w:tcW w:w="1030" w:type="dxa"/>
            <w:tcBorders>
              <w:tl2br w:val="nil"/>
              <w:tr2bl w:val="nil"/>
            </w:tcBorders>
            <w:noWrap w:val="0"/>
            <w:vAlign w:val="center"/>
          </w:tcPr>
          <w:p w14:paraId="4CE991D1">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016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35820AAC">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29</w:t>
            </w:r>
          </w:p>
        </w:tc>
        <w:tc>
          <w:tcPr>
            <w:tcW w:w="6976" w:type="dxa"/>
            <w:tcBorders>
              <w:tl2br w:val="nil"/>
              <w:tr2bl w:val="nil"/>
            </w:tcBorders>
            <w:noWrap w:val="0"/>
            <w:vAlign w:val="center"/>
          </w:tcPr>
          <w:p w14:paraId="6A9B2D75">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配置要求：</w:t>
            </w:r>
            <w:r>
              <w:rPr>
                <w:rFonts w:hint="eastAsia" w:ascii="宋体" w:hAnsi="宋体" w:eastAsia="宋体" w:cs="宋体"/>
                <w:kern w:val="0"/>
                <w:sz w:val="21"/>
                <w:szCs w:val="21"/>
                <w:highlight w:val="none"/>
                <w:lang w:val="en-US" w:eastAsia="zh-CN"/>
              </w:rPr>
              <w:t>至少包含</w:t>
            </w:r>
            <w:r>
              <w:rPr>
                <w:rFonts w:hint="eastAsia" w:ascii="宋体" w:hAnsi="宋体" w:eastAsia="宋体" w:cs="宋体"/>
                <w:kern w:val="0"/>
                <w:sz w:val="21"/>
                <w:szCs w:val="21"/>
                <w:highlight w:val="none"/>
              </w:rPr>
              <w:t>磁刺激仪主机1台</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磁刺激仪副机1台</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液冷机1台</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磁刺激仪定位帽</w:t>
            </w:r>
            <w:r>
              <w:rPr>
                <w:rFonts w:hint="eastAsia" w:ascii="宋体" w:hAnsi="宋体" w:eastAsia="宋体" w:cs="宋体"/>
                <w:kern w:val="0"/>
                <w:sz w:val="21"/>
                <w:szCs w:val="21"/>
                <w:highlight w:val="none"/>
              </w:rPr>
              <w:tab/>
            </w:r>
            <w:r>
              <w:rPr>
                <w:rFonts w:hint="eastAsia" w:ascii="宋体" w:hAnsi="宋体" w:eastAsia="宋体" w:cs="宋体"/>
                <w:kern w:val="0"/>
                <w:sz w:val="21"/>
                <w:szCs w:val="21"/>
                <w:highlight w:val="none"/>
              </w:rPr>
              <w:t>5顶</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电源线</w:t>
            </w:r>
            <w:r>
              <w:rPr>
                <w:rFonts w:hint="eastAsia" w:ascii="宋体" w:hAnsi="宋体" w:eastAsia="宋体" w:cs="宋体"/>
                <w:kern w:val="0"/>
                <w:sz w:val="21"/>
                <w:szCs w:val="21"/>
                <w:highlight w:val="none"/>
              </w:rPr>
              <w:tab/>
            </w:r>
            <w:r>
              <w:rPr>
                <w:rFonts w:hint="eastAsia" w:ascii="宋体" w:hAnsi="宋体" w:eastAsia="宋体" w:cs="宋体"/>
                <w:kern w:val="0"/>
                <w:sz w:val="21"/>
                <w:szCs w:val="21"/>
                <w:highlight w:val="none"/>
              </w:rPr>
              <w:t>1根</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体表（肌电）电极20片</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ab/>
            </w:r>
            <w:r>
              <w:rPr>
                <w:rFonts w:hint="eastAsia" w:ascii="宋体" w:hAnsi="宋体" w:eastAsia="宋体" w:cs="宋体"/>
                <w:kern w:val="0"/>
                <w:sz w:val="21"/>
                <w:szCs w:val="21"/>
                <w:highlight w:val="none"/>
              </w:rPr>
              <w:t>脚踏开关1个</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运动诱发电位监测模块及附件1套</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磁刺激仪刺激线圈2套</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刺激线圈支架2套</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工作站</w:t>
            </w:r>
            <w:r>
              <w:rPr>
                <w:rFonts w:hint="eastAsia" w:ascii="宋体" w:hAnsi="宋体" w:eastAsia="宋体" w:cs="宋体"/>
                <w:kern w:val="0"/>
                <w:sz w:val="21"/>
                <w:szCs w:val="21"/>
                <w:highlight w:val="none"/>
              </w:rPr>
              <w:t>1</w:t>
            </w:r>
            <w:r>
              <w:rPr>
                <w:rFonts w:hint="eastAsia" w:ascii="宋体" w:hAnsi="宋体" w:eastAsia="宋体" w:cs="宋体"/>
                <w:kern w:val="0"/>
                <w:sz w:val="21"/>
                <w:szCs w:val="21"/>
                <w:highlight w:val="none"/>
                <w:lang w:val="en-US" w:eastAsia="zh-CN"/>
              </w:rPr>
              <w:t>套</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软件系统</w:t>
            </w:r>
            <w:r>
              <w:rPr>
                <w:rFonts w:hint="eastAsia" w:ascii="宋体" w:hAnsi="宋体" w:eastAsia="宋体" w:cs="宋体"/>
                <w:kern w:val="0"/>
                <w:sz w:val="21"/>
                <w:szCs w:val="21"/>
                <w:highlight w:val="none"/>
              </w:rPr>
              <w:tab/>
            </w:r>
            <w:r>
              <w:rPr>
                <w:rFonts w:hint="eastAsia" w:ascii="宋体" w:hAnsi="宋体" w:eastAsia="宋体" w:cs="宋体"/>
                <w:kern w:val="0"/>
                <w:sz w:val="21"/>
                <w:szCs w:val="21"/>
                <w:highlight w:val="none"/>
              </w:rPr>
              <w:t>1套</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台车1</w:t>
            </w:r>
            <w:r>
              <w:rPr>
                <w:rFonts w:hint="eastAsia" w:ascii="宋体" w:hAnsi="宋体" w:eastAsia="宋体" w:cs="宋体"/>
                <w:kern w:val="0"/>
                <w:sz w:val="21"/>
                <w:szCs w:val="21"/>
                <w:highlight w:val="none"/>
                <w:lang w:val="en-US" w:eastAsia="zh-CN"/>
              </w:rPr>
              <w:t>辆</w:t>
            </w:r>
          </w:p>
        </w:tc>
        <w:tc>
          <w:tcPr>
            <w:tcW w:w="1030" w:type="dxa"/>
            <w:tcBorders>
              <w:tl2br w:val="nil"/>
              <w:tr2bl w:val="nil"/>
            </w:tcBorders>
            <w:noWrap w:val="0"/>
            <w:vAlign w:val="center"/>
          </w:tcPr>
          <w:p w14:paraId="31F733DC">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961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5C30F2F9">
            <w:pPr>
              <w:widowControl/>
              <w:adjustRightInd w:val="0"/>
              <w:snapToGrid w:val="0"/>
              <w:spacing w:line="360" w:lineRule="auto"/>
              <w:jc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30</w:t>
            </w:r>
          </w:p>
        </w:tc>
        <w:tc>
          <w:tcPr>
            <w:tcW w:w="6976" w:type="dxa"/>
            <w:tcBorders>
              <w:tl2br w:val="nil"/>
              <w:tr2bl w:val="nil"/>
            </w:tcBorders>
            <w:noWrap w:val="0"/>
            <w:vAlign w:val="center"/>
          </w:tcPr>
          <w:p w14:paraId="28E9D1AD">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使用年限≥8年，提供铭牌或说明书证明</w:t>
            </w:r>
          </w:p>
        </w:tc>
        <w:tc>
          <w:tcPr>
            <w:tcW w:w="1030" w:type="dxa"/>
            <w:tcBorders>
              <w:tl2br w:val="nil"/>
              <w:tr2bl w:val="nil"/>
            </w:tcBorders>
            <w:noWrap w:val="0"/>
            <w:vAlign w:val="center"/>
          </w:tcPr>
          <w:p w14:paraId="7C9C12E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AB8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35B71D65">
            <w:pPr>
              <w:widowControl/>
              <w:adjustRightInd w:val="0"/>
              <w:snapToGrid w:val="0"/>
              <w:spacing w:line="360" w:lineRule="auto"/>
              <w:jc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31</w:t>
            </w:r>
          </w:p>
        </w:tc>
        <w:tc>
          <w:tcPr>
            <w:tcW w:w="6976" w:type="dxa"/>
            <w:tcBorders>
              <w:tl2br w:val="nil"/>
              <w:tr2bl w:val="nil"/>
            </w:tcBorders>
            <w:noWrap w:val="0"/>
            <w:vAlign w:val="center"/>
          </w:tcPr>
          <w:p w14:paraId="20BC06E1">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提供详细配置清单及分项报价(含名称、品牌、规格型号、数量、单价)</w:t>
            </w:r>
          </w:p>
        </w:tc>
        <w:tc>
          <w:tcPr>
            <w:tcW w:w="1030" w:type="dxa"/>
            <w:tcBorders>
              <w:tl2br w:val="nil"/>
              <w:tr2bl w:val="nil"/>
            </w:tcBorders>
            <w:noWrap w:val="0"/>
            <w:vAlign w:val="center"/>
          </w:tcPr>
          <w:p w14:paraId="043B8BB8">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1DB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4A7BB9F0">
            <w:pPr>
              <w:widowControl/>
              <w:adjustRightInd w:val="0"/>
              <w:snapToGrid w:val="0"/>
              <w:spacing w:line="360" w:lineRule="auto"/>
              <w:jc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32</w:t>
            </w:r>
          </w:p>
        </w:tc>
        <w:tc>
          <w:tcPr>
            <w:tcW w:w="6976" w:type="dxa"/>
            <w:tcBorders>
              <w:tl2br w:val="nil"/>
              <w:tr2bl w:val="nil"/>
            </w:tcBorders>
            <w:noWrap w:val="0"/>
            <w:vAlign w:val="center"/>
          </w:tcPr>
          <w:p w14:paraId="5FF1A109">
            <w:pPr>
              <w:widowControl/>
              <w:adjustRightInd w:val="0"/>
              <w:snapToGrid w:val="0"/>
              <w:spacing w:line="360" w:lineRule="auto"/>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提供</w:t>
            </w:r>
            <w:r>
              <w:rPr>
                <w:rFonts w:hint="eastAsia" w:ascii="宋体" w:hAnsi="宋体" w:eastAsia="宋体" w:cs="宋体"/>
                <w:kern w:val="0"/>
                <w:sz w:val="21"/>
                <w:szCs w:val="21"/>
                <w:highlight w:val="none"/>
              </w:rPr>
              <w:t>设备附件及各类配件详细报价（</w:t>
            </w:r>
            <w:r>
              <w:rPr>
                <w:rFonts w:hint="eastAsia" w:ascii="宋体" w:hAnsi="宋体" w:eastAsia="宋体" w:cs="宋体"/>
                <w:bCs/>
                <w:kern w:val="0"/>
                <w:sz w:val="21"/>
                <w:szCs w:val="21"/>
                <w:highlight w:val="none"/>
              </w:rPr>
              <w:t>含名称、</w:t>
            </w:r>
            <w:r>
              <w:rPr>
                <w:rFonts w:hint="eastAsia" w:ascii="宋体" w:hAnsi="宋体" w:eastAsia="宋体" w:cs="宋体"/>
                <w:kern w:val="0"/>
                <w:sz w:val="21"/>
                <w:szCs w:val="21"/>
                <w:highlight w:val="none"/>
              </w:rPr>
              <w:t>品牌、规格型号、</w:t>
            </w:r>
            <w:r>
              <w:rPr>
                <w:rFonts w:hint="eastAsia" w:ascii="宋体" w:hAnsi="宋体" w:eastAsia="宋体" w:cs="宋体"/>
                <w:bCs/>
                <w:kern w:val="0"/>
                <w:sz w:val="21"/>
                <w:szCs w:val="21"/>
                <w:highlight w:val="none"/>
              </w:rPr>
              <w:t>数量、单价)</w:t>
            </w:r>
          </w:p>
        </w:tc>
        <w:tc>
          <w:tcPr>
            <w:tcW w:w="1030" w:type="dxa"/>
            <w:tcBorders>
              <w:tl2br w:val="nil"/>
              <w:tr2bl w:val="nil"/>
            </w:tcBorders>
            <w:noWrap w:val="0"/>
            <w:vAlign w:val="center"/>
          </w:tcPr>
          <w:p w14:paraId="6004B5F0">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81C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20AE263D">
            <w:pPr>
              <w:widowControl/>
              <w:adjustRightInd w:val="0"/>
              <w:snapToGrid w:val="0"/>
              <w:spacing w:line="360" w:lineRule="auto"/>
              <w:jc w:val="center"/>
              <w:rPr>
                <w:rFonts w:hint="default" w:ascii="宋体" w:hAnsi="宋体" w:eastAsia="宋体" w:cs="宋体"/>
                <w:bCs/>
                <w:color w:val="FF0000"/>
                <w:kern w:val="0"/>
                <w:sz w:val="21"/>
                <w:szCs w:val="21"/>
                <w:highlight w:val="none"/>
                <w:lang w:val="en-US" w:eastAsia="zh-CN"/>
              </w:rPr>
            </w:pPr>
            <w:r>
              <w:rPr>
                <w:rFonts w:hint="eastAsia" w:ascii="宋体" w:hAnsi="宋体" w:eastAsia="宋体" w:cs="宋体"/>
                <w:bCs/>
                <w:kern w:val="0"/>
                <w:sz w:val="21"/>
                <w:szCs w:val="21"/>
                <w:highlight w:val="none"/>
                <w:lang w:val="en-US" w:eastAsia="zh-CN"/>
              </w:rPr>
              <w:t>33</w:t>
            </w:r>
          </w:p>
        </w:tc>
        <w:tc>
          <w:tcPr>
            <w:tcW w:w="6976" w:type="dxa"/>
            <w:tcBorders>
              <w:tl2br w:val="nil"/>
              <w:tr2bl w:val="nil"/>
            </w:tcBorders>
            <w:noWrap w:val="0"/>
            <w:vAlign w:val="center"/>
          </w:tcPr>
          <w:p w14:paraId="6BC501B1">
            <w:pPr>
              <w:pStyle w:val="4"/>
              <w:widowControl/>
              <w:adjustRightInd w:val="0"/>
              <w:snapToGrid w:val="0"/>
              <w:spacing w:line="360" w:lineRule="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提供</w:t>
            </w:r>
            <w:r>
              <w:rPr>
                <w:rFonts w:hint="eastAsia" w:ascii="宋体" w:hAnsi="宋体" w:eastAsia="宋体" w:cs="宋体"/>
                <w:kern w:val="0"/>
                <w:sz w:val="21"/>
                <w:szCs w:val="21"/>
                <w:highlight w:val="none"/>
              </w:rPr>
              <w:t>质保期外原装常用</w:t>
            </w:r>
            <w:r>
              <w:rPr>
                <w:rFonts w:hint="eastAsia" w:ascii="宋体" w:hAnsi="宋体" w:eastAsia="宋体" w:cs="宋体"/>
                <w:bCs/>
                <w:kern w:val="0"/>
                <w:sz w:val="21"/>
                <w:szCs w:val="21"/>
                <w:highlight w:val="none"/>
              </w:rPr>
              <w:t>损耗性配件及维修零配件优惠供应价格（含名称、品牌、规格型号、单价）</w:t>
            </w:r>
          </w:p>
        </w:tc>
        <w:tc>
          <w:tcPr>
            <w:tcW w:w="1030" w:type="dxa"/>
            <w:tcBorders>
              <w:tl2br w:val="nil"/>
              <w:tr2bl w:val="nil"/>
            </w:tcBorders>
            <w:noWrap w:val="0"/>
            <w:vAlign w:val="center"/>
          </w:tcPr>
          <w:p w14:paraId="5A9A25D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63A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2B11BC1F">
            <w:pPr>
              <w:widowControl/>
              <w:adjustRightInd w:val="0"/>
              <w:snapToGrid w:val="0"/>
              <w:spacing w:line="360" w:lineRule="auto"/>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三</w:t>
            </w:r>
          </w:p>
        </w:tc>
        <w:tc>
          <w:tcPr>
            <w:tcW w:w="6976" w:type="dxa"/>
            <w:tcBorders>
              <w:tl2br w:val="nil"/>
              <w:tr2bl w:val="nil"/>
            </w:tcBorders>
            <w:noWrap w:val="0"/>
            <w:vAlign w:val="center"/>
          </w:tcPr>
          <w:p w14:paraId="2AE44E22">
            <w:pPr>
              <w:widowControl/>
              <w:adjustRightInd w:val="0"/>
              <w:snapToGrid w:val="0"/>
              <w:spacing w:line="360" w:lineRule="auto"/>
              <w:jc w:val="left"/>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售后服务</w:t>
            </w:r>
          </w:p>
        </w:tc>
        <w:tc>
          <w:tcPr>
            <w:tcW w:w="1030" w:type="dxa"/>
            <w:tcBorders>
              <w:tl2br w:val="nil"/>
              <w:tr2bl w:val="nil"/>
            </w:tcBorders>
            <w:noWrap w:val="0"/>
            <w:vAlign w:val="center"/>
          </w:tcPr>
          <w:p w14:paraId="562C043D">
            <w:pPr>
              <w:widowControl/>
              <w:adjustRightInd w:val="0"/>
              <w:snapToGrid w:val="0"/>
              <w:spacing w:line="360" w:lineRule="auto"/>
              <w:jc w:val="center"/>
              <w:rPr>
                <w:rFonts w:hint="eastAsia" w:ascii="宋体" w:hAnsi="宋体" w:eastAsia="宋体" w:cs="宋体"/>
                <w:kern w:val="0"/>
                <w:sz w:val="21"/>
                <w:szCs w:val="21"/>
                <w:highlight w:val="none"/>
              </w:rPr>
            </w:pPr>
          </w:p>
        </w:tc>
      </w:tr>
      <w:tr w14:paraId="2484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785C1391">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6976" w:type="dxa"/>
            <w:tcBorders>
              <w:tl2br w:val="nil"/>
              <w:tr2bl w:val="nil"/>
            </w:tcBorders>
            <w:noWrap w:val="0"/>
            <w:vAlign w:val="center"/>
          </w:tcPr>
          <w:p w14:paraId="4B584BE6">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整机质保期≥</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年，在质保期内每年由维修工程师提供至少4次的上门维护保养工作，并根据医院要求提供相应记录</w:t>
            </w:r>
          </w:p>
        </w:tc>
        <w:tc>
          <w:tcPr>
            <w:tcW w:w="1030" w:type="dxa"/>
            <w:tcBorders>
              <w:tl2br w:val="nil"/>
              <w:tr2bl w:val="nil"/>
            </w:tcBorders>
            <w:noWrap w:val="0"/>
            <w:vAlign w:val="center"/>
          </w:tcPr>
          <w:p w14:paraId="24F3EFA3">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0F7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2E6021EF">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6976" w:type="dxa"/>
            <w:tcBorders>
              <w:tl2br w:val="nil"/>
              <w:tr2bl w:val="nil"/>
            </w:tcBorders>
            <w:noWrap w:val="0"/>
            <w:vAlign w:val="center"/>
          </w:tcPr>
          <w:p w14:paraId="12871734">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中标后，提供厂家保修承诺</w:t>
            </w:r>
          </w:p>
        </w:tc>
        <w:tc>
          <w:tcPr>
            <w:tcW w:w="1030" w:type="dxa"/>
            <w:tcBorders>
              <w:tl2br w:val="nil"/>
              <w:tr2bl w:val="nil"/>
            </w:tcBorders>
            <w:noWrap w:val="0"/>
            <w:vAlign w:val="center"/>
          </w:tcPr>
          <w:p w14:paraId="6334590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B17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487A0588">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6976" w:type="dxa"/>
            <w:tcBorders>
              <w:tl2br w:val="nil"/>
              <w:tr2bl w:val="nil"/>
            </w:tcBorders>
            <w:noWrap w:val="0"/>
            <w:vAlign w:val="center"/>
          </w:tcPr>
          <w:p w14:paraId="20031C1B">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中标方应对设备操作及维修人员进行操作及维修培训，直至技术人员熟练掌握使用及维修技能为止，提供详细培训记录</w:t>
            </w:r>
          </w:p>
        </w:tc>
        <w:tc>
          <w:tcPr>
            <w:tcW w:w="1030" w:type="dxa"/>
            <w:tcBorders>
              <w:tl2br w:val="nil"/>
              <w:tr2bl w:val="nil"/>
            </w:tcBorders>
            <w:noWrap w:val="0"/>
            <w:vAlign w:val="center"/>
          </w:tcPr>
          <w:p w14:paraId="20A4DDFC">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D49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2F02D061">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6976" w:type="dxa"/>
            <w:tcBorders>
              <w:tl2br w:val="nil"/>
              <w:tr2bl w:val="nil"/>
            </w:tcBorders>
            <w:noWrap w:val="0"/>
            <w:vAlign w:val="center"/>
          </w:tcPr>
          <w:p w14:paraId="7CB036CB">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维修保障：中标方应提供中文说明书、操作手册、详细维修手册、整机线路图、系统安装软件及维修密码，软件终身免费升级</w:t>
            </w:r>
          </w:p>
        </w:tc>
        <w:tc>
          <w:tcPr>
            <w:tcW w:w="1030" w:type="dxa"/>
            <w:tcBorders>
              <w:tl2br w:val="nil"/>
              <w:tr2bl w:val="nil"/>
            </w:tcBorders>
            <w:noWrap w:val="0"/>
            <w:vAlign w:val="center"/>
          </w:tcPr>
          <w:p w14:paraId="6E7845A4">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749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640EE16F">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6976" w:type="dxa"/>
            <w:tcBorders>
              <w:tl2br w:val="nil"/>
              <w:tr2bl w:val="nil"/>
            </w:tcBorders>
            <w:noWrap w:val="0"/>
            <w:vAlign w:val="center"/>
          </w:tcPr>
          <w:p w14:paraId="1A7E3C2A">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一个月内非人为质量问题提供换货。设备出现故障时2个小时内响应，6小时内提供维修方案及报价，24小时内到达现场，郑州有常驻工程师，提供工程师姓名及联系方式</w:t>
            </w:r>
          </w:p>
        </w:tc>
        <w:tc>
          <w:tcPr>
            <w:tcW w:w="1030" w:type="dxa"/>
            <w:tcBorders>
              <w:tl2br w:val="nil"/>
              <w:tr2bl w:val="nil"/>
            </w:tcBorders>
            <w:noWrap w:val="0"/>
            <w:vAlign w:val="center"/>
          </w:tcPr>
          <w:p w14:paraId="4DC582DC">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2CD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2" w:type="dxa"/>
            <w:tcBorders>
              <w:tl2br w:val="nil"/>
              <w:tr2bl w:val="nil"/>
            </w:tcBorders>
            <w:noWrap w:val="0"/>
            <w:vAlign w:val="center"/>
          </w:tcPr>
          <w:p w14:paraId="4F259A99">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6976" w:type="dxa"/>
            <w:tcBorders>
              <w:tl2br w:val="nil"/>
              <w:tr2bl w:val="nil"/>
            </w:tcBorders>
            <w:noWrap w:val="0"/>
            <w:vAlign w:val="center"/>
          </w:tcPr>
          <w:p w14:paraId="50CB2263">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到货时间：合同签订后30日历天内</w:t>
            </w:r>
          </w:p>
        </w:tc>
        <w:tc>
          <w:tcPr>
            <w:tcW w:w="1030" w:type="dxa"/>
            <w:tcBorders>
              <w:tl2br w:val="nil"/>
              <w:tr2bl w:val="nil"/>
            </w:tcBorders>
            <w:noWrap w:val="0"/>
            <w:vAlign w:val="center"/>
          </w:tcPr>
          <w:p w14:paraId="2D0F15DC">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bl>
    <w:p w14:paraId="2CB24A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JP 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5B003C"/>
    <w:rsid w:val="725B0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 w:type="paragraph" w:styleId="5">
    <w:name w:val="List Paragraph"/>
    <w:basedOn w:val="1"/>
    <w:qFormat/>
    <w:uiPriority w:val="34"/>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2026-01-16T06:22:00Z</dcterms:created>
  <dc:creator>李子怡</dc:creator>
  <cp:lastModifiedBy>李子怡</cp:lastModifiedBy>
  <dcterms:modified xsi:type="dcterms:W3CDTF">2026-01-16T06:25:23Z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DCD082651B6143F99152B1717BB14427_11</vt:lpwstr>
  </property>
  <property fmtid="{D5CDD505-2E9C-101B-9397-08002B2CF9AE}" pid="4" name="KSOTemplateDocerSaveRecord">
    <vt:lpwstr>eyJoZGlkIjoiOGUwODU1ZmJkMmZlNWI2NDZjZDJhZTUyNTI2MjEzYjAiLCJ1c2VySWQiOiIyNzc5ODY3NTAifQ==</vt:lpwstr>
  </property>
</Properties>
</file>